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7"/>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285"/>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项目名称：南京市儿童医院研究性病房信息化系统拓展模块</w:t>
      </w:r>
      <w:r>
        <w:rPr>
          <w:rFonts w:hint="eastAsia" w:ascii="Arial" w:hAnsi="Arial" w:eastAsia="宋体" w:cs="Times New Roman"/>
          <w:b/>
          <w:bCs/>
          <w:sz w:val="32"/>
          <w:szCs w:val="24"/>
          <w:lang w:val="en-US" w:eastAsia="zh-CN"/>
        </w:rPr>
        <w:t xml:space="preserve"> </w:t>
      </w:r>
      <w:r/>
    </w:p>
    <w:p>
      <w:pPr>
        <w:ind w:firstLine="1285"/>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项目编号：</w:t>
      </w:r>
      <w:r>
        <w:rPr>
          <w:rFonts w:hint="eastAsia" w:ascii="Arial" w:hAnsi="Arial" w:cs="Times New Roman"/>
          <w:b/>
          <w:bCs/>
          <w:sz w:val="32"/>
          <w:szCs w:val="24"/>
          <w:lang w:val="en-US" w:eastAsia="zh-CN"/>
        </w:rPr>
        <w:t xml:space="preserve">JSZC-320100-JZCG-C2025-0519</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cs="Times New Roman"/>
          <w:b/>
          <w:color w:val="000000"/>
          <w:sz w:val="30"/>
          <w:szCs w:val="30"/>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0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8"/>
        <w:rPr>
          <w:rFonts w:hint="eastAsia"/>
        </w:rPr>
      </w:pPr>
      <w:r>
        <w:rPr>
          <w:rFonts w:hint="eastAsia"/>
        </w:rPr>
      </w:r>
      <w:r/>
    </w:p>
    <w:p>
      <w:pPr>
        <w:pStyle w:val="967"/>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12</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20823272"/>
      <w:r/>
      <w:bookmarkStart w:id="1" w:name="_Toc120614210"/>
      <w:r/>
      <w:bookmarkStart w:id="2" w:name="_Toc523127445"/>
      <w:r/>
      <w:bookmarkStart w:id="3" w:name="_Toc513029200"/>
      <w:r/>
      <w:bookmarkStart w:id="4" w:name="_Toc479757206"/>
      <w:r/>
      <w:bookmarkStart w:id="5" w:name="_Toc16938516"/>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25</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受南京市儿童医院委托，南京市公共资源交易中心（以下简称“交易中心”）就研究性病房信息化系统拓展模块进行竞争性磋商采购，欢迎符合条件的供应商参加磋商。</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52" w:lineRule="auto"/>
        <w:widowControl w:val="off"/>
        <w:rPr>
          <w:rFonts w:hint="eastAsia" w:ascii="宋体" w:hAnsi="宋体" w:eastAsia="宋体" w:cs="Times New Roman"/>
          <w:color w:val="000000"/>
          <w:sz w:val="24"/>
          <w:szCs w:val="24"/>
          <w:u w:val="none"/>
          <w:lang w:val="en-US"/>
        </w:rPr>
      </w:pPr>
      <w:r>
        <w:rPr>
          <w:rFonts w:hint="eastAsia" w:ascii="宋体" w:hAnsi="宋体"/>
          <w:sz w:val="24"/>
          <w:szCs w:val="24"/>
        </w:rPr>
        <w:t xml:space="preserve">1.</w:t>
      </w:r>
      <w:r>
        <w:rPr>
          <w:rFonts w:hint="eastAsia" w:ascii="宋体" w:hAnsi="宋体" w:eastAsia="宋体" w:cs="Times New Roman"/>
          <w:color w:val="000000"/>
          <w:sz w:val="24"/>
          <w:szCs w:val="24"/>
          <w:u w:val="none"/>
        </w:rPr>
        <w:t xml:space="preserve">项目编号：</w:t>
      </w:r>
      <w:r>
        <w:rPr>
          <w:rFonts w:hint="eastAsia" w:ascii="宋体" w:hAnsi="宋体" w:cs="Times New Roman"/>
          <w:color w:val="000000"/>
          <w:sz w:val="24"/>
          <w:szCs w:val="24"/>
          <w:u w:val="none"/>
          <w:lang w:eastAsia="zh-CN"/>
        </w:rPr>
        <w:t xml:space="preserve">JSZC-320100-JZCG-C2025-0519</w:t>
      </w:r>
      <w:r/>
    </w:p>
    <w:p>
      <w:pPr>
        <w:ind w:firstLine="480"/>
        <w:pageBreakBefore w:val="0"/>
        <w:spacing w:line="252" w:lineRule="auto"/>
        <w:widowControl w:val="off"/>
        <w:rPr>
          <w:rFonts w:hint="eastAsia" w:ascii="宋体" w:hAnsi="宋体" w:eastAsia="宋体" w:cs="Times New Roman"/>
          <w:color w:val="000000"/>
          <w:sz w:val="24"/>
          <w:szCs w:val="24"/>
          <w:u w:val="none"/>
          <w:lang w:eastAsia="zh-CN"/>
        </w:rPr>
      </w:pPr>
      <w:r>
        <w:rPr>
          <w:rFonts w:hint="eastAsia" w:ascii="宋体" w:hAnsi="宋体" w:eastAsia="宋体" w:cs="Times New Roman"/>
          <w:color w:val="000000"/>
          <w:sz w:val="24"/>
          <w:szCs w:val="24"/>
          <w:u w:val="none"/>
        </w:rPr>
        <w:t xml:space="preserve">2.项目名称：南京市儿童医院研究性病房信息化系统拓展模块</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rPr>
        <w:t xml:space="preserve">3.预算金额：</w:t>
      </w:r>
      <w:r>
        <w:rPr>
          <w:rFonts w:hint="eastAsia" w:ascii="宋体" w:hAnsi="宋体" w:eastAsia="宋体" w:cs="Times New Roman"/>
          <w:color w:val="000000"/>
          <w:sz w:val="24"/>
          <w:szCs w:val="24"/>
          <w:u w:val="none"/>
          <w:lang w:val="en-US" w:eastAsia="zh-CN"/>
        </w:rPr>
        <w:t xml:space="preserve">49万元 </w:t>
      </w:r>
      <w:r/>
    </w:p>
    <w:p>
      <w:pPr>
        <w:ind w:firstLine="480"/>
        <w:pageBreakBefore w:val="0"/>
        <w:spacing w:line="252" w:lineRule="auto"/>
        <w:widowControl w:val="off"/>
        <w:rPr>
          <w:rFonts w:hint="eastAsia" w:ascii="宋体" w:hAnsi="宋体" w:eastAsia="宋体" w:cs="Times New Roman"/>
          <w:color w:val="000000"/>
          <w:sz w:val="24"/>
          <w:szCs w:val="24"/>
          <w:u w:val="none"/>
          <w:lang w:eastAsia="zh-CN"/>
        </w:rPr>
      </w:pPr>
      <w:r>
        <w:rPr>
          <w:rFonts w:hint="eastAsia" w:ascii="宋体" w:hAnsi="宋体" w:eastAsia="宋体" w:cs="Times New Roman"/>
          <w:color w:val="000000"/>
          <w:sz w:val="24"/>
          <w:szCs w:val="24"/>
          <w:u w:val="none"/>
        </w:rPr>
        <w:t xml:space="preserve">4.</w:t>
      </w:r>
      <w:r>
        <w:rPr>
          <w:rFonts w:hint="eastAsia" w:ascii="宋体" w:hAnsi="宋体" w:eastAsia="宋体" w:cs="Times New Roman"/>
          <w:color w:val="000000"/>
          <w:sz w:val="24"/>
          <w:szCs w:val="24"/>
          <w:u w:val="none"/>
          <w:lang w:val="en-US" w:eastAsia="zh-CN"/>
        </w:rPr>
        <w:t xml:space="preserve">最高限价：</w:t>
      </w:r>
      <w:r>
        <w:rPr>
          <w:rFonts w:hint="eastAsia" w:ascii="宋体" w:hAnsi="宋体" w:eastAsia="宋体" w:cs="Times New Roman"/>
          <w:color w:val="000000"/>
          <w:sz w:val="24"/>
          <w:szCs w:val="24"/>
          <w:u w:val="none"/>
        </w:rPr>
        <w:t xml:space="preserve">本项目不设最高限价</w:t>
      </w:r>
      <w:r>
        <w:rPr>
          <w:rFonts w:hint="eastAsia" w:ascii="宋体" w:hAnsi="宋体" w:eastAsia="宋体" w:cs="Times New Roman"/>
          <w:color w:val="000000"/>
          <w:sz w:val="24"/>
          <w:szCs w:val="24"/>
          <w:u w:val="none"/>
          <w:lang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u w:val="none"/>
        </w:rPr>
        <w:t xml:space="preserve">    5.采购需求（简介）</w:t>
      </w:r>
      <w:r>
        <w:rPr>
          <w:rFonts w:hint="eastAsia" w:ascii="宋体" w:hAnsi="宋体" w:eastAsia="宋体" w:cs="Times New Roman"/>
          <w:color w:val="000000"/>
          <w:sz w:val="24"/>
          <w:szCs w:val="24"/>
          <w:lang w:val="en-US" w:eastAsia="zh-CN"/>
        </w:rPr>
        <w:t xml:space="preserve">：研究</w:t>
      </w:r>
      <w:r>
        <w:rPr>
          <w:rFonts w:hint="eastAsia" w:ascii="宋体" w:hAnsi="宋体" w:eastAsia="宋体" w:cs="Times New Roman"/>
          <w:color w:val="000000"/>
          <w:sz w:val="24"/>
          <w:szCs w:val="24"/>
          <w:lang w:val="en-US" w:eastAsia="zh-CN"/>
        </w:rPr>
        <w:t xml:space="preserve">性</w:t>
      </w:r>
      <w:r>
        <w:rPr>
          <w:rFonts w:hint="eastAsia" w:ascii="宋体" w:hAnsi="宋体" w:eastAsia="宋体" w:cs="Times New Roman"/>
          <w:color w:val="000000"/>
          <w:sz w:val="24"/>
          <w:szCs w:val="24"/>
          <w:lang w:val="en-US" w:eastAsia="zh-CN"/>
        </w:rPr>
        <w:t xml:space="preserve">病房信息化建设包括病房管理、样本管理、智能招募、电子病例等功能</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rPr>
          <w:rFonts w:ascii="SimSun" w:hAnsi="SimSun" w:eastAsia="SimSun" w:cs="SimSun"/>
          <w:color w:val="000000"/>
          <w:sz w:val="24"/>
        </w:rPr>
        <w:t xml:space="preserve">（详细内容见本招标文件第四章） </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6.合同履行期限：</w:t>
      </w:r>
      <w:r>
        <w:rPr>
          <w:rFonts w:hint="eastAsia" w:ascii="宋体" w:hAnsi="宋体" w:cs="Times New Roman"/>
          <w:color w:val="000000"/>
          <w:sz w:val="24"/>
          <w:szCs w:val="24"/>
          <w:lang w:val="en-US" w:eastAsia="zh-CN"/>
        </w:rPr>
        <w:t xml:space="preserve">54</w:t>
      </w:r>
      <w:r>
        <w:rPr>
          <w:rFonts w:hint="eastAsia" w:ascii="宋体" w:hAnsi="宋体" w:eastAsia="宋体" w:cs="Times New Roman"/>
          <w:color w:val="000000"/>
          <w:sz w:val="24"/>
          <w:szCs w:val="24"/>
          <w:lang w:val="en-US" w:eastAsia="zh-CN"/>
        </w:rPr>
        <w:t xml:space="preserve">5天（合同签订后1</w:t>
      </w:r>
      <w:r>
        <w:rPr>
          <w:rFonts w:hint="eastAsia" w:ascii="宋体" w:hAnsi="宋体" w:cs="Times New Roman"/>
          <w:color w:val="000000"/>
          <w:sz w:val="24"/>
          <w:szCs w:val="24"/>
          <w:lang w:val="en-US" w:eastAsia="zh-CN"/>
        </w:rPr>
        <w:t xml:space="preserve">8</w:t>
      </w:r>
      <w:r>
        <w:rPr>
          <w:rFonts w:hint="eastAsia" w:ascii="宋体" w:hAnsi="宋体" w:eastAsia="宋体" w:cs="Times New Roman"/>
          <w:color w:val="000000"/>
          <w:sz w:val="24"/>
          <w:szCs w:val="24"/>
          <w:lang w:val="en-US" w:eastAsia="zh-CN"/>
        </w:rPr>
        <w:t xml:space="preserve">0天内完成系统开发，运维期365天）</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7.本项目不接受联合体参加磋商。</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color w:val="000000"/>
          <w:sz w:val="24"/>
          <w:szCs w:val="24"/>
          <w:lang w:val="en-US"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spacing w:line="252"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val="0"/>
          <w:bCs w:val="0"/>
          <w:color w:val="000000" w:themeColor="text1"/>
          <w:sz w:val="24"/>
          <w:szCs w:val="24"/>
          <w:u w:val="none"/>
          <w:lang w:val="en-US" w:eastAsia="zh-CN"/>
          <w14:textFill>
            <w14:solidFill>
              <w14:schemeClr w14:val="tx1"/>
            </w14:solidFill>
          </w14:textFill>
        </w:rPr>
        <w:t xml:space="preserve"> </w:t>
      </w:r>
      <w:r>
        <w:rPr>
          <w:rFonts w:hint="eastAsia" w:ascii="Times New Roman" w:hAnsi="Times New Roman" w:eastAsia="宋体" w:cs="Times New Roman"/>
          <w:b w:val="0"/>
          <w:bCs w:val="0"/>
          <w:color w:val="000000" w:themeColor="text1"/>
          <w:sz w:val="24"/>
          <w:szCs w:val="24"/>
          <w:u w:val="none"/>
          <w:lang w:val="en-US" w:eastAsia="zh-CN"/>
          <w14:textFill>
            <w14:solidFill>
              <w14:schemeClr w14:val="tx1"/>
            </w14:solidFill>
          </w14:textFill>
        </w:rPr>
        <w:t xml:space="preserve">2025年1</w:t>
      </w:r>
      <w:r>
        <w:rPr>
          <w:rFonts w:hint="eastAsia" w:cs="Times New Roman"/>
          <w:b w:val="0"/>
          <w:bCs w:val="0"/>
          <w:color w:val="000000" w:themeColor="text1"/>
          <w:sz w:val="24"/>
          <w:szCs w:val="24"/>
          <w:u w:val="none"/>
          <w:lang w:val="en-US" w:eastAsia="zh-CN"/>
          <w14:textFill>
            <w14:solidFill>
              <w14:schemeClr w14:val="tx1"/>
            </w14:solidFill>
          </w14:textFill>
        </w:rPr>
        <w:t xml:space="preserve">2</w:t>
      </w:r>
      <w:r>
        <w:rPr>
          <w:rFonts w:hint="eastAsia" w:ascii="Times New Roman" w:hAnsi="Times New Roman" w:eastAsia="宋体" w:cs="Times New Roman"/>
          <w:b w:val="0"/>
          <w:bCs w:val="0"/>
          <w:color w:val="000000" w:themeColor="text1"/>
          <w:sz w:val="24"/>
          <w:szCs w:val="24"/>
          <w:u w:val="none"/>
          <w:lang w:val="en-US" w:eastAsia="zh-CN"/>
          <w14:textFill>
            <w14:solidFill>
              <w14:schemeClr w14:val="tx1"/>
            </w14:solidFill>
          </w14:textFill>
        </w:rPr>
        <w:t xml:space="preserve">月</w:t>
      </w:r>
      <w:r>
        <w:rPr>
          <w:rFonts w:hint="eastAsia" w:cs="Times New Roman"/>
          <w:b w:val="0"/>
          <w:bCs w:val="0"/>
          <w:color w:val="000000" w:themeColor="text1"/>
          <w:sz w:val="24"/>
          <w:szCs w:val="24"/>
          <w:u w:val="none"/>
          <w:lang w:val="en-US" w:eastAsia="zh-CN"/>
          <w14:textFill>
            <w14:solidFill>
              <w14:schemeClr w14:val="tx1"/>
            </w14:solidFill>
          </w14:textFill>
        </w:rPr>
        <w:t xml:space="preserve">16</w:t>
      </w:r>
      <w:r>
        <w:rPr>
          <w:rFonts w:hint="eastAsia" w:ascii="Times New Roman" w:hAnsi="Times New Roman" w:eastAsia="宋体" w:cs="Times New Roman"/>
          <w:b w:val="0"/>
          <w:bCs w:val="0"/>
          <w:color w:val="000000" w:themeColor="text1"/>
          <w:sz w:val="24"/>
          <w:szCs w:val="24"/>
          <w:u w:val="none"/>
          <w:lang w:val="en-US" w:eastAsia="zh-CN"/>
          <w14:textFill>
            <w14:solidFill>
              <w14:schemeClr w14:val="tx1"/>
            </w14:solidFill>
          </w14:textFill>
        </w:rPr>
        <w:t xml:space="preserve">日</w:t>
      </w:r>
      <w:r>
        <w:rPr>
          <w:rFonts w:hint="eastAsia" w:cs="Times New Roman"/>
          <w:b w:val="0"/>
          <w:bCs w:val="0"/>
          <w:color w:val="000000" w:themeColor="text1"/>
          <w:sz w:val="24"/>
          <w:szCs w:val="24"/>
          <w:u w:val="none"/>
          <w:lang w:val="en-US" w:eastAsia="zh-CN"/>
          <w14:textFill>
            <w14:solidFill>
              <w14:schemeClr w14:val="tx1"/>
            </w14:solidFill>
          </w14:textFill>
        </w:rPr>
        <w:t xml:space="preserve">14</w:t>
      </w:r>
      <w:bookmarkStart w:id="43" w:name="_GoBack"/>
      <w:r/>
      <w:bookmarkEnd w:id="43"/>
      <w:r>
        <w:rPr>
          <w:rFonts w:hint="eastAsia" w:ascii="Times New Roman" w:hAnsi="Times New Roman" w:eastAsia="宋体" w:cs="Times New Roman"/>
          <w:b w:val="0"/>
          <w:bCs w:val="0"/>
          <w:color w:val="000000" w:themeColor="text1"/>
          <w:sz w:val="24"/>
          <w:szCs w:val="24"/>
          <w:u w:val="none"/>
          <w:lang w:val="en-US" w:eastAsia="zh-CN"/>
          <w14:textFill>
            <w14:solidFill>
              <w14:schemeClr w14:val="tx1"/>
            </w14:solidFill>
          </w14:textFill>
        </w:rPr>
        <w:t xml:space="preserve">时00分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52"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2"/>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方法和评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p>
    <w:p>
      <w:pPr>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称：南京市儿童医院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址：南京市鼓楼区广州路72号、南京市建邺区江东南路8号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联系人：陈老师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联系电话：025-52862966</w:t>
      </w:r>
      <w:bookmarkStart w:id="6" w:name="_Toc28359009"/>
      <w:r/>
      <w:bookmarkStart w:id="7" w:name="_Toc28359086"/>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6"/>
      <w:r/>
      <w:bookmarkEnd w:id="7"/>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陈先生</w:t>
      </w:r>
      <w:r/>
    </w:p>
    <w:p>
      <w:pPr>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w:t>
      </w:r>
      <w:r>
        <w:rPr>
          <w:rFonts w:hint="eastAsia" w:ascii="宋体" w:hAnsi="宋体" w:cs="Times New Roman"/>
          <w:color w:val="000000"/>
          <w:sz w:val="24"/>
          <w:szCs w:val="24"/>
          <w:u w:val="none"/>
          <w:lang w:val="en-US" w:eastAsia="zh-CN"/>
        </w:rPr>
        <w:t xml:space="preserve">15</w:t>
      </w:r>
      <w:r>
        <w:rPr>
          <w:rFonts w:hint="eastAsia" w:ascii="宋体" w:hAnsi="宋体" w:eastAsia="宋体" w:cs="Times New Roman"/>
          <w:color w:val="000000"/>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708"/>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6938519"/>
      <w:r/>
      <w:bookmarkStart w:id="10" w:name="_Toc20823275"/>
      <w:r/>
      <w:bookmarkStart w:id="11" w:name="_Toc120614214"/>
      <w:r>
        <w:rPr>
          <w:rFonts w:hint="eastAsia" w:ascii="方正黑体_GBK" w:hAnsi="方正黑体_GBK" w:eastAsia="方正黑体_GBK" w:cs="方正黑体_GBK"/>
          <w:b w:val="0"/>
          <w:bCs w:val="0"/>
          <w:color w:val="000000"/>
          <w:sz w:val="30"/>
          <w:szCs w:val="30"/>
        </w:rPr>
        <w:t xml:space="preserve">一、总则</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cs="Times New Roman"/>
          <w:color w:val="000000"/>
          <w:sz w:val="24"/>
          <w:szCs w:val="21"/>
          <w:lang w:val="en-US" w:eastAsia="zh-CN"/>
        </w:rPr>
        <w:t xml:space="preserve">或单价上限</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w:t>
      </w: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磋商小组应</w:t>
      </w:r>
      <w:r>
        <w:rPr>
          <w:rFonts w:hint="eastAsia" w:ascii="宋体" w:hAnsi="宋体" w:eastAsia="宋体" w:cs="Times New Roman"/>
          <w:b w:val="0"/>
          <w:bCs w:val="0"/>
          <w:color w:val="000000"/>
          <w:sz w:val="24"/>
          <w:szCs w:val="22"/>
          <w:lang w:val="en-US" w:eastAsia="zh-CN" w:bidi="ar"/>
        </w:rPr>
        <w:t xml:space="preserve">对磋商</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8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8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采购人质疑接收人及联系方式为南京市儿童医院，联系地址：南京市鼓楼区广州路72号、南京市建邺区江东南路8号，联系人：陈老师，联系电话：025-52862966。</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8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82"/>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8"/>
      <w:r/>
      <w:bookmarkEnd w:id="9"/>
      <w:r/>
      <w:bookmarkEnd w:id="10"/>
      <w:r/>
      <w:bookmarkEnd w:id="11"/>
      <w:r/>
      <w:r/>
    </w:p>
    <w:p>
      <w:pPr>
        <w:pStyle w:val="88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88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8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8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82"/>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43.数据交易说明</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43.1 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4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pStyle w:val="947"/>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52" w:lineRule="auto"/>
        <w:widowControl w:val="off"/>
        <w:rPr>
          <w:rFonts w:hint="eastAsia" w:ascii="宋体" w:hAnsi="宋体"/>
          <w:bCs/>
          <w:color w:val="auto"/>
          <w:sz w:val="24"/>
          <w:szCs w:val="21"/>
          <w:lang w:eastAsia="zh-CN"/>
        </w:rPr>
        <w:outlineLvl w:val="9"/>
      </w:pPr>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合同双方不得对磋商、响应文件内容作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708"/>
        <w:ind w:left="0" w:firstLine="0"/>
        <w:keepLines w:val="0"/>
        <w:keepNext w:val="0"/>
        <w:pageBreakBefore w:val="0"/>
        <w:spacing w:line="252"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52"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52" w:lineRule="auto"/>
        <w:widowControl w:val="off"/>
        <w:rPr>
          <w:rFonts w:ascii="宋体" w:hAnsi="宋体" w:eastAsia="宋体" w:cs="Courier New"/>
          <w:b w:val="0"/>
          <w:bCs w:val="0"/>
          <w:color w:val="auto"/>
          <w:sz w:val="24"/>
          <w:szCs w:val="24"/>
        </w:rPr>
        <w:outlineLvl w:val="9"/>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p>
    <w:p>
      <w:pPr>
        <w:keepLines w:val="0"/>
        <w:keepNext w:val="0"/>
        <w:pageBreakBefore w:val="0"/>
        <w:spacing w:before="145" w:after="145" w:line="252"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52"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52"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52"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竞争性磋商</w:t>
      </w:r>
      <w:r>
        <w:rPr>
          <w:rFonts w:ascii="宋体" w:hAnsi="宋体" w:cs="Courier New"/>
          <w:color w:val="auto"/>
          <w:sz w:val="24"/>
          <w:szCs w:val="24"/>
        </w:rPr>
        <w:t xml:space="preserve">结果，签署本合同。</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 标的名称：</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52" w:lineRule="auto"/>
        <w:widowControl w:val="off"/>
        <w:rPr>
          <w:rFonts w:hint="eastAsia" w:ascii="宋体" w:hAnsi="宋体" w:eastAsia="宋体" w:cs="Courier New"/>
          <w:color w:val="auto"/>
          <w:sz w:val="24"/>
          <w:szCs w:val="24"/>
          <w:lang w:eastAsia="zh-CN"/>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17"/>
        <w:keepLines w:val="0"/>
        <w:keepNext w:val="0"/>
        <w:pageBreakBefore w:val="0"/>
        <w:spacing w:before="0" w:after="0" w:line="252"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本合同金额为（大写）：____________________圆（_________________元）人民币。</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规定的时间向甲方提供服务（包含与服务相关的货物）的有关技术资料。</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52"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52"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17"/>
        <w:keepLines w:val="0"/>
        <w:keepNext w:val="0"/>
        <w:pageBreakBefore w:val="0"/>
        <w:spacing w:before="0" w:after="0" w:line="252" w:lineRule="auto"/>
        <w:widowControl w:val="off"/>
        <w:rPr>
          <w:rFonts w:hint="eastAsia" w:ascii="宋体" w:hAnsi="宋体" w:eastAsia="宋体" w:cs="Courier New"/>
          <w:color w:val="auto"/>
          <w:sz w:val="24"/>
          <w:szCs w:val="24"/>
          <w:lang w:val="en-US" w:eastAsia="zh-CN"/>
        </w:rPr>
        <w:outlineLvl w:val="2"/>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917"/>
        <w:keepLines w:val="0"/>
        <w:keepNext w:val="0"/>
        <w:pageBreakBefore w:val="0"/>
        <w:spacing w:before="0" w:after="0" w:line="252" w:lineRule="auto"/>
        <w:widowControl w:val="off"/>
        <w:rPr>
          <w:rFonts w:hint="eastAsia" w:cs="Times New Roman"/>
          <w:color w:val="auto"/>
          <w:sz w:val="24"/>
          <w:szCs w:val="24"/>
          <w:lang w:val="en-US" w:eastAsia="zh-CN"/>
        </w:rPr>
      </w:pPr>
      <w:r>
        <w:rPr>
          <w:rFonts w:hint="eastAsia" w:ascii="宋体" w:hAnsi="宋体" w:eastAsia="宋体" w:cs="Courier New"/>
          <w:color w:val="auto"/>
          <w:sz w:val="24"/>
          <w:szCs w:val="24"/>
          <w:highlight w:val="none"/>
          <w:lang w:val="en-US" w:eastAsia="zh-CN"/>
        </w:rPr>
        <w:t xml:space="preserve">8.1.1 </w:t>
      </w:r>
      <w:r>
        <w:rPr>
          <w:rFonts w:cs="Times New Roman"/>
          <w:color w:val="auto"/>
          <w:sz w:val="24"/>
          <w:szCs w:val="24"/>
          <w:lang w:eastAsia="zh-CN"/>
        </w:rPr>
        <w:t xml:space="preserve">合同签订后10个工作日内，</w:t>
      </w:r>
      <w:r>
        <w:rPr>
          <w:rFonts w:hint="eastAsia" w:ascii="宋体" w:hAnsi="宋体" w:eastAsia="宋体" w:cs="宋体"/>
          <w:color w:val="auto"/>
          <w:sz w:val="24"/>
          <w:szCs w:val="24"/>
          <w:lang w:eastAsia="zh-CN"/>
        </w:rPr>
        <w:t xml:space="preserve">甲方</w:t>
      </w:r>
      <w:r>
        <w:rPr>
          <w:rFonts w:cs="Times New Roman"/>
          <w:color w:val="auto"/>
          <w:sz w:val="24"/>
          <w:szCs w:val="24"/>
          <w:lang w:eastAsia="zh-CN"/>
        </w:rPr>
        <w:t xml:space="preserve">向</w:t>
      </w:r>
      <w:r>
        <w:rPr>
          <w:rFonts w:hint="eastAsia" w:cs="Times New Roman"/>
          <w:color w:val="auto"/>
          <w:sz w:val="24"/>
          <w:szCs w:val="24"/>
          <w:lang w:val="en-US" w:eastAsia="zh-CN"/>
        </w:rPr>
        <w:t xml:space="preserve">乙方</w:t>
      </w:r>
      <w:r>
        <w:rPr>
          <w:rFonts w:cs="Times New Roman"/>
          <w:color w:val="auto"/>
          <w:sz w:val="24"/>
          <w:szCs w:val="24"/>
          <w:lang w:eastAsia="zh-CN"/>
        </w:rPr>
        <w:t xml:space="preserve">支付合同</w:t>
      </w:r>
      <w:r>
        <w:rPr>
          <w:rFonts w:hint="eastAsia" w:cs="Times New Roman"/>
          <w:color w:val="auto"/>
          <w:sz w:val="24"/>
          <w:szCs w:val="24"/>
          <w:lang w:eastAsia="zh-CN"/>
        </w:rPr>
        <w:t xml:space="preserve">总价</w:t>
      </w:r>
      <w:r>
        <w:rPr>
          <w:rFonts w:hint="eastAsia" w:cs="Times New Roman"/>
          <w:color w:val="auto"/>
          <w:sz w:val="24"/>
          <w:szCs w:val="24"/>
          <w:lang w:val="en-US" w:eastAsia="zh-CN"/>
        </w:rPr>
        <w:t xml:space="preserve">30</w:t>
      </w:r>
      <w:r>
        <w:rPr>
          <w:rFonts w:hint="eastAsia" w:cs="Times New Roman"/>
          <w:color w:val="auto"/>
          <w:sz w:val="24"/>
          <w:szCs w:val="24"/>
          <w:lang w:eastAsia="zh-CN"/>
        </w:rPr>
        <w:t xml:space="preserve">%的预付款。</w:t>
      </w:r>
      <w:r/>
    </w:p>
    <w:p>
      <w:pPr>
        <w:pStyle w:val="917"/>
        <w:keepLines w:val="0"/>
        <w:keepNext w:val="0"/>
        <w:pageBreakBefore w:val="0"/>
        <w:spacing w:before="0" w:after="0" w:line="252" w:lineRule="auto"/>
        <w:widowControl w:val="off"/>
        <w:rPr>
          <w:rFonts w:hint="eastAsia" w:cs="Times New Roman"/>
          <w:color w:val="auto"/>
          <w:sz w:val="24"/>
          <w:szCs w:val="24"/>
          <w:lang w:val="en-US" w:eastAsia="zh-CN"/>
        </w:rPr>
      </w:pPr>
      <w:r>
        <w:rPr>
          <w:rFonts w:hint="eastAsia" w:cs="Times New Roman"/>
          <w:color w:val="auto"/>
          <w:sz w:val="24"/>
          <w:szCs w:val="24"/>
          <w:lang w:val="en-US" w:eastAsia="zh-CN"/>
        </w:rPr>
        <w:t xml:space="preserve">8.1.2 </w:t>
      </w:r>
      <w:r>
        <w:rPr>
          <w:rFonts w:hint="eastAsia" w:cs="Times New Roman"/>
          <w:color w:val="auto"/>
          <w:sz w:val="24"/>
          <w:szCs w:val="24"/>
          <w:lang w:eastAsia="zh-CN"/>
        </w:rPr>
        <w:t xml:space="preserve">产品正式验收合格</w:t>
      </w:r>
      <w:r>
        <w:rPr>
          <w:rFonts w:hint="eastAsia" w:cs="Times New Roman"/>
          <w:color w:val="auto"/>
          <w:sz w:val="24"/>
          <w:szCs w:val="24"/>
          <w:lang w:val="en-US" w:eastAsia="zh-CN"/>
        </w:rPr>
        <w:t xml:space="preserve">后</w:t>
      </w:r>
      <w:r>
        <w:rPr>
          <w:rFonts w:hint="eastAsia" w:cs="Times New Roman"/>
          <w:color w:val="auto"/>
          <w:sz w:val="24"/>
          <w:szCs w:val="24"/>
          <w:lang w:eastAsia="zh-CN"/>
        </w:rPr>
        <w:t xml:space="preserve">10个工作日内，甲方</w:t>
      </w:r>
      <w:r>
        <w:rPr>
          <w:rFonts w:hint="eastAsia" w:cs="Times New Roman"/>
          <w:color w:val="auto"/>
          <w:sz w:val="24"/>
          <w:szCs w:val="24"/>
          <w:lang w:val="en-US" w:eastAsia="zh-CN"/>
        </w:rPr>
        <w:t xml:space="preserve">向乙方</w:t>
      </w:r>
      <w:r>
        <w:rPr>
          <w:rFonts w:hint="eastAsia" w:cs="Times New Roman"/>
          <w:color w:val="auto"/>
          <w:sz w:val="24"/>
          <w:szCs w:val="24"/>
          <w:lang w:eastAsia="zh-CN"/>
        </w:rPr>
        <w:t xml:space="preserve">支付合同总价</w:t>
      </w:r>
      <w:r>
        <w:rPr>
          <w:rFonts w:hint="eastAsia" w:cs="Times New Roman"/>
          <w:color w:val="auto"/>
          <w:sz w:val="24"/>
          <w:szCs w:val="24"/>
          <w:lang w:val="en-US" w:eastAsia="zh-CN"/>
        </w:rPr>
        <w:t xml:space="preserve">60</w:t>
      </w:r>
      <w:r>
        <w:rPr>
          <w:rFonts w:hint="eastAsia" w:cs="Times New Roman"/>
          <w:color w:val="auto"/>
          <w:sz w:val="24"/>
          <w:szCs w:val="24"/>
          <w:lang w:eastAsia="zh-CN"/>
        </w:rPr>
        <w:t xml:space="preserve">％的款项。</w:t>
      </w:r>
      <w:r/>
    </w:p>
    <w:p>
      <w:pPr>
        <w:pStyle w:val="917"/>
        <w:keepLines w:val="0"/>
        <w:keepNext w:val="0"/>
        <w:pageBreakBefore w:val="0"/>
        <w:spacing w:before="0" w:after="0" w:line="252" w:lineRule="auto"/>
        <w:widowControl w:val="off"/>
        <w:rPr>
          <w:rFonts w:hint="eastAsia" w:cs="Times New Roman"/>
          <w:color w:val="auto"/>
          <w:sz w:val="24"/>
          <w:szCs w:val="24"/>
          <w:lang w:val="en-US" w:eastAsia="zh-CN"/>
        </w:rPr>
      </w:pPr>
      <w:r>
        <w:rPr>
          <w:rFonts w:hint="eastAsia" w:cs="Times New Roman"/>
          <w:color w:val="auto"/>
          <w:sz w:val="24"/>
          <w:szCs w:val="24"/>
          <w:lang w:val="en-US" w:eastAsia="zh-CN"/>
        </w:rPr>
        <w:t xml:space="preserve">8.1.3 </w:t>
      </w:r>
      <w:r>
        <w:rPr>
          <w:rFonts w:hint="eastAsia" w:cs="Times New Roman"/>
          <w:color w:val="auto"/>
          <w:sz w:val="24"/>
          <w:szCs w:val="24"/>
          <w:lang w:eastAsia="zh-CN"/>
        </w:rPr>
        <w:t xml:space="preserve">维保期</w:t>
      </w:r>
      <w:r>
        <w:rPr>
          <w:rFonts w:hint="eastAsia" w:cs="Times New Roman"/>
          <w:color w:val="auto"/>
          <w:sz w:val="24"/>
          <w:szCs w:val="24"/>
          <w:lang w:val="en-US" w:eastAsia="zh-CN"/>
        </w:rPr>
        <w:t xml:space="preserve">结束</w:t>
      </w:r>
      <w:r>
        <w:rPr>
          <w:rFonts w:hint="eastAsia" w:cs="Times New Roman"/>
          <w:color w:val="auto"/>
          <w:sz w:val="24"/>
          <w:szCs w:val="24"/>
          <w:lang w:eastAsia="zh-CN"/>
        </w:rPr>
        <w:t xml:space="preserve">后10个工作日内，</w:t>
      </w:r>
      <w:r>
        <w:rPr>
          <w:rFonts w:hint="eastAsia" w:cs="Times New Roman"/>
          <w:color w:val="auto"/>
          <w:sz w:val="24"/>
          <w:szCs w:val="24"/>
          <w:lang w:val="en-US" w:eastAsia="zh-CN"/>
        </w:rPr>
        <w:t xml:space="preserve">一次性支付</w:t>
      </w:r>
      <w:r>
        <w:rPr>
          <w:rFonts w:cs="Times New Roman"/>
          <w:color w:val="auto"/>
          <w:sz w:val="24"/>
          <w:szCs w:val="24"/>
          <w:lang w:eastAsia="zh-CN"/>
        </w:rPr>
        <w:t xml:space="preserve">合同</w:t>
      </w:r>
      <w:r>
        <w:rPr>
          <w:rFonts w:hint="eastAsia" w:cs="Times New Roman"/>
          <w:color w:val="auto"/>
          <w:sz w:val="24"/>
          <w:szCs w:val="24"/>
          <w:lang w:eastAsia="zh-CN"/>
        </w:rPr>
        <w:t xml:space="preserve">总价10％</w:t>
      </w:r>
      <w:r>
        <w:rPr>
          <w:rFonts w:hint="eastAsia" w:cs="Times New Roman"/>
          <w:color w:val="auto"/>
          <w:sz w:val="24"/>
          <w:szCs w:val="24"/>
          <w:lang w:val="en-US" w:eastAsia="zh-CN"/>
        </w:rPr>
        <w:t xml:space="preserve">的款项</w:t>
      </w:r>
      <w:r>
        <w:rPr>
          <w:rFonts w:hint="eastAsia" w:cs="Times New Roman"/>
          <w:color w:val="auto"/>
          <w:sz w:val="24"/>
          <w:szCs w:val="24"/>
          <w:lang w:eastAsia="zh-CN"/>
        </w:rPr>
        <w:t xml:space="preserve">。</w:t>
      </w:r>
      <w:r/>
    </w:p>
    <w:p>
      <w:pPr>
        <w:pStyle w:val="917"/>
        <w:keepLines w:val="0"/>
        <w:keepNext w:val="0"/>
        <w:pageBreakBefore w:val="0"/>
        <w:spacing w:before="0" w:after="0" w:line="252" w:lineRule="auto"/>
        <w:widowControl w:val="off"/>
        <w:rPr>
          <w:rFonts w:hint="eastAsia" w:ascii="宋体" w:hAnsi="宋体" w:eastAsia="宋体" w:cs="Courier New"/>
          <w:color w:val="auto"/>
          <w:sz w:val="24"/>
          <w:szCs w:val="24"/>
          <w:lang w:val="en-US" w:eastAsia="zh-CN"/>
        </w:rPr>
      </w:pPr>
      <w:r>
        <w:rPr>
          <w:rFonts w:hint="eastAsia" w:cs="Times New Roman"/>
          <w:color w:val="auto"/>
          <w:sz w:val="24"/>
          <w:szCs w:val="24"/>
          <w:lang w:val="en-US" w:eastAsia="zh-CN"/>
        </w:rPr>
        <w:t xml:space="preserve">8.1.4 满足合同约定支付条件的，甲方收到乙方发票后10个工作日</w:t>
      </w:r>
      <w:r>
        <w:rPr>
          <w:rFonts w:hint="eastAsia" w:ascii="宋体" w:hAnsi="宋体" w:eastAsia="宋体" w:cs="Courier New"/>
          <w:color w:val="auto"/>
          <w:sz w:val="24"/>
          <w:szCs w:val="24"/>
          <w:lang w:val="en-US" w:eastAsia="zh-CN"/>
        </w:rPr>
        <w:t xml:space="preserve">内，将资金支付到合同约定的乙方账户。 </w:t>
      </w:r>
      <w:r/>
    </w:p>
    <w:p>
      <w:pPr>
        <w:pStyle w:val="917"/>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十一、违约责任</w:t>
      </w:r>
      <w:r/>
    </w:p>
    <w:p>
      <w:pPr>
        <w:jc w:val="both"/>
        <w:keepLines w:val="0"/>
        <w:keepNext w:val="0"/>
        <w:pageBreakBefore w:val="0"/>
        <w:spacing w:after="0" w:line="252" w:lineRule="auto"/>
        <w:widowControl w:val="o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11.1 甲方无正当理由拒绝接受乙方提供服务的，应向乙方偿付拒绝接受服务合同总额</w:t>
      </w:r>
      <w:r/>
    </w:p>
    <w:p>
      <w:pPr>
        <w:jc w:val="both"/>
        <w:keepLines w:val="0"/>
        <w:keepNext w:val="0"/>
        <w:pageBreakBefore w:val="0"/>
        <w:spacing w:after="0" w:line="252" w:lineRule="auto"/>
        <w:widowControl w:val="o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lang w:eastAsia="zh-CN"/>
        </w:rPr>
        <w:t xml:space="preserve">百分之五</w:t>
      </w:r>
      <w:r>
        <w:rPr>
          <w:rFonts w:ascii="宋体" w:hAnsi="宋体" w:eastAsia="宋体" w:cs="宋体"/>
          <w:color w:val="auto"/>
          <w:sz w:val="24"/>
          <w:lang w:eastAsia="zh-CN"/>
        </w:rPr>
        <w:t xml:space="preserve">的违约金。</w:t>
      </w:r>
      <w:r/>
    </w:p>
    <w:p>
      <w:pPr>
        <w:jc w:val="both"/>
        <w:keepLines w:val="0"/>
        <w:keepNext w:val="0"/>
        <w:pageBreakBefore w:val="0"/>
        <w:spacing w:after="0" w:line="252" w:lineRule="auto"/>
        <w:widowControl w:val="o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11.2 甲方无故逾期验收和办理支付手续的，应按逾期付款总额每日</w:t>
      </w:r>
      <w:r>
        <w:rPr>
          <w:rFonts w:ascii="宋体" w:hAnsi="宋体" w:eastAsia="宋体" w:cs="宋体"/>
          <w:color w:val="auto"/>
          <w:sz w:val="24"/>
          <w:u w:val="single"/>
          <w:lang w:eastAsia="zh-CN"/>
        </w:rPr>
        <w:t xml:space="preserve">万分之五</w:t>
      </w:r>
      <w:r>
        <w:rPr>
          <w:rFonts w:ascii="宋体" w:hAnsi="宋体" w:eastAsia="宋体" w:cs="宋体"/>
          <w:color w:val="auto"/>
          <w:sz w:val="24"/>
          <w:lang w:eastAsia="zh-CN"/>
        </w:rPr>
        <w:t xml:space="preserve">向乙方支付违约金，累计违约金总额不超过合同总额</w:t>
      </w:r>
      <w:r>
        <w:rPr>
          <w:rFonts w:ascii="宋体" w:hAnsi="宋体" w:eastAsia="宋体" w:cs="宋体"/>
          <w:color w:val="auto"/>
          <w:sz w:val="24"/>
          <w:u w:val="single"/>
          <w:lang w:eastAsia="zh-CN"/>
        </w:rPr>
        <w:t xml:space="preserve">百分之五</w:t>
      </w:r>
      <w:r>
        <w:rPr>
          <w:rFonts w:ascii="宋体" w:hAnsi="宋体" w:eastAsia="宋体" w:cs="宋体"/>
          <w:color w:val="auto"/>
          <w:sz w:val="24"/>
          <w:lang w:eastAsia="zh-CN"/>
        </w:rPr>
        <w:t xml:space="preserve">。</w:t>
      </w:r>
      <w:r/>
    </w:p>
    <w:p>
      <w:pPr>
        <w:jc w:val="both"/>
        <w:keepLines w:val="0"/>
        <w:keepNext w:val="0"/>
        <w:pageBreakBefore w:val="0"/>
        <w:spacing w:after="0" w:line="252" w:lineRule="auto"/>
        <w:widowControl w:val="o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11.3 乙方逾期提供服务的，应按逾期提供服务合同总额每日</w:t>
      </w:r>
      <w:r>
        <w:rPr>
          <w:rFonts w:ascii="宋体" w:hAnsi="宋体" w:eastAsia="宋体" w:cs="宋体"/>
          <w:color w:val="auto"/>
          <w:sz w:val="24"/>
          <w:u w:val="single"/>
          <w:lang w:eastAsia="zh-CN"/>
        </w:rPr>
        <w:t xml:space="preserve">万分之五</w:t>
      </w:r>
      <w:r>
        <w:rPr>
          <w:rFonts w:ascii="宋体" w:hAnsi="宋体" w:eastAsia="宋体" w:cs="宋体"/>
          <w:color w:val="auto"/>
          <w:sz w:val="24"/>
          <w:lang w:eastAsia="zh-CN"/>
        </w:rPr>
        <w:t xml:space="preserve">向甲方支付违约金，累计违约金总额不超过合同总额</w:t>
      </w:r>
      <w:r>
        <w:rPr>
          <w:rFonts w:ascii="宋体" w:hAnsi="宋体" w:eastAsia="宋体" w:cs="宋体"/>
          <w:color w:val="auto"/>
          <w:sz w:val="24"/>
          <w:u w:val="single"/>
          <w:lang w:eastAsia="zh-CN"/>
        </w:rPr>
        <w:t xml:space="preserve">百分之五</w:t>
      </w:r>
      <w:r>
        <w:rPr>
          <w:rFonts w:ascii="宋体" w:hAnsi="宋体" w:eastAsia="宋体" w:cs="宋体"/>
          <w:color w:val="auto"/>
          <w:sz w:val="24"/>
          <w:lang w:eastAsia="zh-CN"/>
        </w:rPr>
        <w:t xml:space="preserve">，由甲方从待付合同款中扣除。逾期超过约定日期10个工作日不能提供服务的，甲方可解除本合同。乙方因逾期提供服务或因其他违约行为导致甲方解除合同的，应向甲方支付合同总额</w:t>
      </w:r>
      <w:r>
        <w:rPr>
          <w:rFonts w:ascii="宋体" w:hAnsi="宋体" w:eastAsia="宋体" w:cs="宋体"/>
          <w:color w:val="auto"/>
          <w:sz w:val="24"/>
          <w:u w:val="single"/>
          <w:lang w:eastAsia="zh-CN"/>
        </w:rPr>
        <w:t xml:space="preserve">百分之五</w:t>
      </w:r>
      <w:r>
        <w:rPr>
          <w:rFonts w:ascii="宋体" w:hAnsi="宋体" w:eastAsia="宋体" w:cs="宋体"/>
          <w:color w:val="auto"/>
          <w:sz w:val="24"/>
          <w:lang w:eastAsia="zh-CN"/>
        </w:rPr>
        <w:t xml:space="preserve">的违约金。</w:t>
      </w:r>
      <w:r/>
    </w:p>
    <w:p>
      <w:pPr>
        <w:jc w:val="both"/>
        <w:keepLines w:val="0"/>
        <w:keepNext w:val="0"/>
        <w:pageBreakBefore w:val="0"/>
        <w:spacing w:after="0" w:line="252" w:lineRule="auto"/>
        <w:widowControl w:val="o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11.4 乙方所提供服务的标准不符合合同规定及招标文件规定标准的，甲方有权拒绝接受服务，并可单方面解除合同。</w:t>
      </w:r>
      <w:r/>
    </w:p>
    <w:p>
      <w:pPr>
        <w:jc w:val="both"/>
        <w:keepLines w:val="0"/>
        <w:keepNext w:val="0"/>
        <w:pageBreakBefore w:val="0"/>
        <w:spacing w:after="0" w:line="252" w:lineRule="auto"/>
        <w:widowControl w:val="o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52"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52"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917"/>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17"/>
        <w:ind w:firstLine="240"/>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17"/>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917"/>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17"/>
        <w:ind w:firstLine="240"/>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17"/>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17"/>
        <w:ind w:firstLine="5280"/>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年    月   日</w:t>
      </w:r>
      <w:r/>
    </w:p>
    <w:p>
      <w:pPr>
        <w:pStyle w:val="917"/>
        <w:ind w:firstLine="4800"/>
        <w:keepLines w:val="0"/>
        <w:keepNext w:val="0"/>
        <w:pageBreakBefore w:val="0"/>
        <w:spacing w:before="120" w:after="120" w:line="252"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52"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917"/>
        <w:jc w:val="left"/>
        <w:keepLines w:val="0"/>
        <w:keepNext w:val="0"/>
        <w:pageBreakBefore w:val="0"/>
        <w:spacing w:before="120" w:after="120" w:line="252"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2" w:name="_Toc120614244"/>
      <w:r/>
      <w:bookmarkStart w:id="13" w:name="_Toc16938590"/>
      <w:r/>
      <w:bookmarkStart w:id="14" w:name="_Hlt16619350"/>
      <w:r/>
      <w:bookmarkStart w:id="15" w:name="_Toc20823346"/>
      <w:r/>
      <w:bookmarkStart w:id="16" w:name="_Toc462564139"/>
      <w:r/>
      <w:bookmarkStart w:id="17" w:name="_Toc479757211"/>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49090575"/>
      <w:r/>
      <w:bookmarkStart w:id="19"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jc w:val="both"/>
        <w:spacing w:after="0" w:line="62" w:lineRule="atLeast"/>
        <w:rPr>
          <w:rFonts w:ascii="宋体" w:hAnsi="宋体"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rPr>
        <w:t xml:space="preserve">  </w:t>
      </w:r>
      <w:r>
        <w:rPr>
          <w:rFonts w:hint="eastAsia" w:ascii="宋体" w:hAnsi="宋体"/>
          <w:sz w:val="24"/>
          <w:szCs w:val="24"/>
          <w:lang w:eastAsia="zh-CN"/>
        </w:rPr>
        <w:t xml:space="preserve">南京市儿童医院是一所集医疗、科研、教学、康复、保健为一体的大型综合性三级甲等儿童医院，是NMPA核准的药物临床试验机构。为保证临床试验的高质量和GCP规范的严格执行，南京儿童医院临床试验机构拟利用网络管理优势，将临床试验基地管理机构与各个专业科室、伦理、申办方有序连接起来，形成信息互通、资源共享、电子化管理、网络化服务，建立安全可靠以机构为中心的高效的临床试验GCP管理平台</w:t>
      </w:r>
      <w:r>
        <w:rPr>
          <w:rFonts w:hint="eastAsia" w:ascii="宋体" w:hAnsi="宋体" w:eastAsia="宋体" w:cs="宋体"/>
          <w:sz w:val="24"/>
          <w:szCs w:val="24"/>
          <w:lang w:eastAsia="zh-CN"/>
        </w:rPr>
        <w:t xml:space="preserve">。</w:t>
      </w:r>
      <w:r>
        <w:rPr>
          <w:rFonts w:cs="Times New Roman"/>
          <w:color w:val="000000"/>
          <w:sz w:val="24"/>
          <w:szCs w:val="24"/>
          <w:lang w:eastAsia="zh-CN"/>
        </w:rPr>
        <w:t xml:space="preserve">为加强研究型病房的运行管理，积极创新管理体制和运行机制，完善支撑服务体系。医院高度重视信息化建设，拟进行临床评价技术平台和临床试验管理基础平台升级，缩短研究周期、简化研究环节、提升受试者体验，保证数据采集和管理的实时性、准确性、真实性、完整性。基于现有临床评价技术平台（</w:t>
      </w:r>
      <w:r>
        <w:rPr>
          <w:rFonts w:hint="eastAsia" w:ascii="宋体" w:hAnsi="宋体"/>
          <w:sz w:val="24"/>
          <w:szCs w:val="24"/>
          <w:lang w:eastAsia="zh-CN"/>
        </w:rPr>
        <w:t xml:space="preserve">GCP</w:t>
      </w:r>
      <w:r>
        <w:rPr>
          <w:rFonts w:cs="Times New Roman"/>
          <w:color w:val="000000"/>
          <w:sz w:val="24"/>
          <w:szCs w:val="24"/>
          <w:lang w:eastAsia="zh-CN"/>
        </w:rPr>
        <w:t xml:space="preserve">）拓展升级</w:t>
      </w:r>
      <w:r>
        <w:rPr>
          <w:rFonts w:hint="eastAsia" w:cs="Times New Roman"/>
          <w:color w:val="000000"/>
          <w:sz w:val="24"/>
          <w:szCs w:val="24"/>
          <w:lang w:eastAsia="zh-CN"/>
        </w:rPr>
        <w:t xml:space="preserve">智能招募系统</w:t>
      </w:r>
      <w:r>
        <w:rPr>
          <w:rFonts w:cs="Times New Roman"/>
          <w:color w:val="000000"/>
          <w:sz w:val="24"/>
          <w:szCs w:val="24"/>
          <w:lang w:eastAsia="zh-CN"/>
        </w:rPr>
        <w:t xml:space="preserve">，基于院内患者资源与临床试验方案入排标准比对分析，快速生成潜在受试者清单，提供潜在受试者标记功能，加快项目受试者招募；</w:t>
      </w:r>
      <w:r>
        <w:rPr>
          <w:rFonts w:cs="Times New Roman"/>
          <w:sz w:val="24"/>
          <w:szCs w:val="32"/>
          <w:lang w:eastAsia="zh-CN"/>
        </w:rPr>
        <w:t xml:space="preserve">充分考虑临床研究管理的复杂性、精准控制和精细化管理要求，引入</w:t>
      </w:r>
      <w:r>
        <w:rPr>
          <w:rFonts w:hint="eastAsia" w:cs="Times New Roman"/>
          <w:sz w:val="24"/>
          <w:szCs w:val="32"/>
          <w:lang w:eastAsia="zh-CN"/>
        </w:rPr>
        <w:t xml:space="preserve">科研</w:t>
      </w:r>
      <w:r>
        <w:rPr>
          <w:rFonts w:cs="Times New Roman"/>
          <w:sz w:val="24"/>
          <w:szCs w:val="32"/>
          <w:lang w:eastAsia="zh-CN"/>
        </w:rPr>
        <w:t xml:space="preserve">病房管理系统，提高研究型病房运营效率和质量，提升受试者满意度，提高项目承接能力，助力高质量临床研究</w:t>
      </w:r>
      <w:r>
        <w:rPr>
          <w:rFonts w:hint="eastAsia" w:cs="Times New Roman"/>
          <w:sz w:val="24"/>
          <w:szCs w:val="32"/>
          <w:lang w:eastAsia="zh-CN"/>
        </w:rPr>
        <w:t xml:space="preserve">；为了实现</w:t>
      </w:r>
      <w:r>
        <w:rPr>
          <w:rFonts w:hint="eastAsia" w:ascii="宋体" w:hAnsi="宋体" w:cs="Arial"/>
          <w:sz w:val="24"/>
          <w:szCs w:val="24"/>
          <w:lang w:eastAsia="zh-CN"/>
        </w:rPr>
        <w:t xml:space="preserve">临床试验生物样本采集、离心、分样、冻存等全过程扫码电子化操作和管理，引入生物样本管理系统；另外</w:t>
      </w:r>
      <w:r>
        <w:rPr>
          <w:rFonts w:cs="Times New Roman"/>
          <w:color w:val="000000"/>
          <w:sz w:val="24"/>
          <w:szCs w:val="24"/>
          <w:lang w:eastAsia="zh-CN"/>
        </w:rPr>
        <w:t xml:space="preserve">通过</w:t>
      </w:r>
      <w:r>
        <w:rPr>
          <w:rFonts w:hint="eastAsia" w:cs="Times New Roman"/>
          <w:color w:val="000000"/>
          <w:sz w:val="24"/>
          <w:szCs w:val="24"/>
          <w:lang w:eastAsia="zh-CN"/>
        </w:rPr>
        <w:t xml:space="preserve">引入</w:t>
      </w:r>
      <w:r>
        <w:rPr>
          <w:rFonts w:cs="Times New Roman"/>
          <w:color w:val="000000"/>
          <w:sz w:val="24"/>
          <w:szCs w:val="24"/>
          <w:lang w:eastAsia="zh-CN"/>
        </w:rPr>
        <w:t xml:space="preserve">临床科研病例管理系统帮助医院实现对全院临床科研的集中统一管理以及单个科研项目的个性化支持，支持面向各种科研项目的一站式管理，提高科研管理效率、加强科研质量过程控制，及时发现和解决各种问题</w:t>
      </w:r>
      <w:r>
        <w:rPr>
          <w:rFonts w:hint="eastAsia" w:cs="Times New Roman"/>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993"/>
        <w:tblW w:w="5087" w:type="pct"/>
        <w:tblInd w:w="-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5"/>
        <w:gridCol w:w="2557"/>
        <w:gridCol w:w="692"/>
        <w:gridCol w:w="703"/>
        <w:gridCol w:w="1020"/>
        <w:gridCol w:w="1058"/>
        <w:gridCol w:w="1482"/>
        <w:gridCol w:w="857"/>
        <w:gridCol w:w="828"/>
      </w:tblGrid>
      <w:tr>
        <w:trPr>
          <w:trHeight w:val="470"/>
        </w:trPr>
        <w:tc>
          <w:tcPr>
            <w:tcW w:w="7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25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W w:w="6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p>
        </w:tc>
        <w:tc>
          <w:tcPr>
            <w:tcW w:w="70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p>
        </w:tc>
        <w:tc>
          <w:tcPr>
            <w:tcW w:w="10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p>
        </w:tc>
        <w:tc>
          <w:tcPr>
            <w:tcW w:w="10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p>
          <w:p>
            <w:pPr>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hint="eastAsia" w:ascii="宋体" w:hAnsi="宋体" w:cs="Times New Roman"/>
                <w:bCs/>
                <w:color w:val="000000"/>
                <w:sz w:val="24"/>
                <w:szCs w:val="24"/>
                <w:lang w:val="en-US" w:eastAsia="zh-CN"/>
              </w:rPr>
              <w:t xml:space="preserve">万</w:t>
            </w:r>
            <w:r>
              <w:rPr>
                <w:rFonts w:hint="eastAsia" w:ascii="宋体" w:hAnsi="宋体" w:eastAsia="宋体" w:cs="Times New Roman"/>
                <w:bCs/>
                <w:color w:val="000000"/>
                <w:sz w:val="24"/>
                <w:szCs w:val="24"/>
                <w:lang w:val="en-US" w:eastAsia="zh-CN"/>
              </w:rPr>
              <w:t xml:space="preserve">元）</w:t>
            </w:r>
            <w:r/>
          </w:p>
        </w:tc>
        <w:tc>
          <w:tcPr>
            <w:tcW w:w="14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p>
        </w:tc>
        <w:tc>
          <w:tcPr>
            <w:tcW w:w="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p>
        </w:tc>
        <w:tc>
          <w:tcPr>
            <w:tcW w:w="8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cs="宋体"/>
                <w:bCs/>
                <w:color w:val="000000"/>
                <w:sz w:val="24"/>
                <w:szCs w:val="24"/>
                <w:lang w:val="en-US" w:eastAsia="zh-CN"/>
              </w:rPr>
              <w:t xml:space="preserve">备注</w:t>
            </w:r>
            <w:r/>
          </w:p>
        </w:tc>
      </w:tr>
      <w:tr>
        <w:trPr>
          <w:trHeight w:val="597"/>
        </w:trPr>
        <w:tc>
          <w:tcPr>
            <w:tcW w:w="7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255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生物样本管理系统</w:t>
            </w:r>
            <w:r/>
          </w:p>
        </w:tc>
        <w:tc>
          <w:tcPr>
            <w:tcW w:w="6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70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p>
        </w:tc>
        <w:tc>
          <w:tcPr>
            <w:tcW w:w="10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p>
        </w:tc>
        <w:tc>
          <w:tcPr>
            <w:tcW w:w="105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10</w:t>
            </w:r>
            <w:r/>
          </w:p>
        </w:tc>
        <w:tc>
          <w:tcPr>
            <w:tcW w:w="14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p>
        </w:tc>
        <w:tc>
          <w:tcPr>
            <w:tcW w:w="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p>
        </w:tc>
        <w:tc>
          <w:tcPr>
            <w:tcW w:w="8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c>
      </w:tr>
      <w:tr>
        <w:trPr>
          <w:trHeight w:val="597"/>
        </w:trPr>
        <w:tc>
          <w:tcPr>
            <w:tcW w:w="7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p>
        </w:tc>
        <w:tc>
          <w:tcPr>
            <w:tcW w:w="255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科研病房管理系统</w:t>
            </w:r>
            <w:r/>
          </w:p>
        </w:tc>
        <w:tc>
          <w:tcPr>
            <w:tcW w:w="6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70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p>
        </w:tc>
        <w:tc>
          <w:tcPr>
            <w:tcW w:w="10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p>
        </w:tc>
        <w:tc>
          <w:tcPr>
            <w:tcW w:w="10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5</w:t>
            </w:r>
            <w:r/>
          </w:p>
        </w:tc>
        <w:tc>
          <w:tcPr>
            <w:tcW w:w="14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p>
        </w:tc>
        <w:tc>
          <w:tcPr>
            <w:tcW w:w="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p>
        </w:tc>
        <w:tc>
          <w:tcPr>
            <w:tcW w:w="8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r>
      <w:tr>
        <w:trPr>
          <w:trHeight w:val="597"/>
        </w:trPr>
        <w:tc>
          <w:tcPr>
            <w:tcW w:w="7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p>
        </w:tc>
        <w:tc>
          <w:tcPr>
            <w:tcW w:w="255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智能招募管理系统</w:t>
            </w:r>
            <w:r/>
          </w:p>
        </w:tc>
        <w:tc>
          <w:tcPr>
            <w:tcW w:w="6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70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p>
        </w:tc>
        <w:tc>
          <w:tcPr>
            <w:tcW w:w="10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p>
        </w:tc>
        <w:tc>
          <w:tcPr>
            <w:tcW w:w="105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10</w:t>
            </w:r>
            <w:r/>
          </w:p>
        </w:tc>
        <w:tc>
          <w:tcPr>
            <w:tcW w:w="14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p>
        </w:tc>
        <w:tc>
          <w:tcPr>
            <w:tcW w:w="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p>
        </w:tc>
        <w:tc>
          <w:tcPr>
            <w:tcW w:w="8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r>
      <w:tr>
        <w:trPr>
          <w:trHeight w:val="597"/>
        </w:trPr>
        <w:tc>
          <w:tcPr>
            <w:tcW w:w="7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p>
        </w:tc>
        <w:tc>
          <w:tcPr>
            <w:tcW w:w="255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临床科研病例采集管理系统</w:t>
            </w:r>
            <w:r/>
          </w:p>
        </w:tc>
        <w:tc>
          <w:tcPr>
            <w:tcW w:w="6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70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p>
        </w:tc>
        <w:tc>
          <w:tcPr>
            <w:tcW w:w="10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主要产品</w:t>
            </w:r>
            <w:r/>
          </w:p>
        </w:tc>
        <w:tc>
          <w:tcPr>
            <w:tcW w:w="105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20</w:t>
            </w:r>
            <w:r/>
          </w:p>
        </w:tc>
        <w:tc>
          <w:tcPr>
            <w:tcW w:w="14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p>
        </w:tc>
        <w:tc>
          <w:tcPr>
            <w:tcW w:w="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p>
        </w:tc>
        <w:tc>
          <w:tcPr>
            <w:tcW w:w="8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r>
      <w:tr>
        <w:trPr>
          <w:trHeight w:val="597"/>
        </w:trPr>
        <w:tc>
          <w:tcPr>
            <w:tcW w:w="7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p>
        </w:tc>
        <w:tc>
          <w:tcPr>
            <w:tcW w:w="255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临床研究信息集成平台</w:t>
            </w:r>
            <w:r/>
          </w:p>
        </w:tc>
        <w:tc>
          <w:tcPr>
            <w:tcW w:w="6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70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p>
        </w:tc>
        <w:tc>
          <w:tcPr>
            <w:tcW w:w="101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p>
        </w:tc>
        <w:tc>
          <w:tcPr>
            <w:tcW w:w="10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4</w:t>
            </w:r>
            <w:r/>
          </w:p>
        </w:tc>
        <w:tc>
          <w:tcPr>
            <w:tcW w:w="148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p>
        </w:tc>
        <w:tc>
          <w:tcPr>
            <w:tcW w:w="85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p>
        </w:tc>
        <w:tc>
          <w:tcPr>
            <w:tcW w:w="8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r>
    </w:tbl>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四、拟采购标的需要满足的技术、商务要求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2"/>
      </w:pPr>
      <w:r/>
      <w:bookmarkStart w:id="20" w:name="_Toc120614281"/>
      <w:r>
        <w:rPr>
          <w:rFonts w:hint="eastAsia" w:ascii="宋体" w:hAnsi="宋体" w:eastAsia="宋体" w:cs="宋体"/>
          <w:bCs/>
          <w:color w:val="000000"/>
          <w:sz w:val="24"/>
          <w:szCs w:val="24"/>
        </w:rPr>
        <w:t xml:space="preserve">（一）</w:t>
      </w:r>
      <w:r>
        <w:rPr>
          <w:rFonts w:hint="eastAsia" w:ascii="宋体" w:hAnsi="宋体" w:eastAsia="宋体" w:cs="宋体"/>
          <w:bCs/>
          <w:color w:val="000000"/>
          <w:sz w:val="24"/>
          <w:szCs w:val="24"/>
          <w:lang w:val="en-US" w:eastAsia="zh-CN"/>
        </w:rPr>
        <w:t xml:space="preserve">技术要求</w:t>
      </w:r>
      <w:r/>
    </w:p>
    <w:p>
      <w:pPr>
        <w:ind w:firstLine="480"/>
        <w:keepLines w:val="0"/>
        <w:keepNext w:val="0"/>
        <w:pageBreakBefore w:val="0"/>
        <w:spacing w:line="240" w:lineRule="auto"/>
        <w:rPr>
          <w:rFonts w:hint="eastAsia" w:ascii="宋体" w:hAnsi="宋体" w:eastAsia="宋体" w:cs="宋体"/>
          <w:color w:val="000000"/>
          <w:sz w:val="24"/>
          <w:szCs w:val="24"/>
        </w:rPr>
        <w:outlineLvl w:val="1"/>
      </w:pPr>
      <w:r>
        <w:rPr>
          <w:rFonts w:ascii="黑体" w:hAnsi="黑体" w:eastAsia="黑体" w:cs="黑体"/>
          <w:color w:val="000000"/>
          <w:sz w:val="24"/>
          <w:lang w:eastAsia="zh-CN"/>
        </w:rPr>
        <w:t xml:space="preserve">★</w:t>
      </w:r>
      <w:bookmarkStart w:id="21" w:name="_Toc87784206"/>
      <w:r/>
      <w:bookmarkStart w:id="22" w:name="_Toc483226684"/>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系统</w:t>
      </w:r>
      <w:r>
        <w:rPr>
          <w:rFonts w:hint="eastAsia" w:ascii="宋体" w:hAnsi="宋体" w:eastAsia="宋体" w:cs="宋体"/>
          <w:color w:val="000000"/>
          <w:sz w:val="24"/>
          <w:szCs w:val="24"/>
        </w:rPr>
        <w:t xml:space="preserve">基本技术要求</w:t>
      </w:r>
      <w:bookmarkEnd w:id="21"/>
      <w:r/>
      <w:bookmarkEnd w:id="22"/>
      <w:r/>
      <w:r/>
    </w:p>
    <w:p>
      <w:pPr>
        <w:numPr>
          <w:ilvl w:val="0"/>
          <w:numId w:val="5"/>
        </w:numPr>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性能要求：</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稳定支持300个以上用户访问；</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关键业务功能在并发100用户并发访问时保持快速响应；系统有完善的缓存管理设计。</w:t>
      </w:r>
      <w:r/>
    </w:p>
    <w:p>
      <w:pPr>
        <w:numPr>
          <w:ilvl w:val="0"/>
          <w:numId w:val="5"/>
        </w:numPr>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安全性需求：</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同时支持内网和外网的网络安全规范；数据采用安全的保护措施、设计安全的备份和恢复策略；实现按角色的安全管理。</w:t>
      </w:r>
      <w:r/>
    </w:p>
    <w:p>
      <w:pPr>
        <w:numPr>
          <w:ilvl w:val="0"/>
          <w:numId w:val="5"/>
        </w:numPr>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集成与扩展需求：</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使用B/S架构进行设计，支持网内的联机事务处理，联机查询和统计分析处理；</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模块化、组件式开发模式，系统按照平台模式设计可扩展支持各种业务模块，无需对系统的底层基础进行修改，就能够根据需求，随时进行单个功能模块的修改、添加和升级；</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内置标准的工作流引擎，能配合机构完成业务流程重组和快速落地，能快速应对SOP调整升级的需求，保障管理思路的顺利实施。可自定义个性化工作流程，满足对一项工作进行不同人员的多级审核需求，在每个审批步骤完成后可以自动修改相关的业务数据，可以判断也可以人工选择流程分支走向；</w:t>
      </w:r>
      <w:r/>
    </w:p>
    <w:p>
      <w:pPr>
        <w:ind w:firstLine="480"/>
        <w:keepLines w:val="0"/>
        <w:keepNext w:val="0"/>
        <w:pageBreakBefore w:val="0"/>
        <w:spacing w:line="240" w:lineRule="auto"/>
        <w:rPr>
          <w:rFonts w:hint="eastAsia" w:ascii="宋体" w:hAnsi="宋体" w:eastAsia="宋体" w:cs="宋体"/>
          <w:color w:val="000000"/>
          <w:sz w:val="24"/>
          <w:szCs w:val="24"/>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系统基于国家药品监督管理局（简称NMPA）GCP标准，确保数据操作自动化、可监控，根据设定条件能自动进行提醒；系统集成了报表服务。</w:t>
      </w:r>
      <w:r/>
    </w:p>
    <w:p>
      <w:pPr>
        <w:ind w:firstLine="480"/>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可用性</w:t>
      </w:r>
      <w:r>
        <w:rPr>
          <w:rFonts w:hint="eastAsia" w:ascii="宋体" w:hAnsi="宋体" w:eastAsia="宋体" w:cs="宋体"/>
          <w:color w:val="000000"/>
          <w:sz w:val="24"/>
          <w:szCs w:val="24"/>
        </w:rPr>
        <w:t xml:space="preserve">需求：</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基于主流浏览器如EDGE、Chrome等访问，</w:t>
      </w:r>
      <w:r>
        <w:rPr>
          <w:rFonts w:hint="eastAsia" w:ascii="宋体" w:hAnsi="宋体" w:cs="宋体"/>
          <w:color w:val="000000"/>
          <w:sz w:val="24"/>
          <w:szCs w:val="24"/>
          <w:lang w:val="en-US" w:eastAsia="zh-CN"/>
        </w:rPr>
        <w:t xml:space="preserve">无</w:t>
      </w:r>
      <w:r>
        <w:rPr>
          <w:rFonts w:hint="eastAsia" w:ascii="宋体" w:hAnsi="宋体" w:eastAsia="宋体" w:cs="宋体"/>
          <w:color w:val="000000"/>
          <w:sz w:val="24"/>
          <w:szCs w:val="24"/>
          <w:lang w:eastAsia="zh-CN"/>
        </w:rPr>
        <w:t xml:space="preserve">需安装客户端，实现临床数据分布式网络化录入，支持多中心协作研究。</w:t>
      </w:r>
      <w:r/>
    </w:p>
    <w:p>
      <w:pPr>
        <w:numPr>
          <w:ilvl w:val="0"/>
          <w:numId w:val="5"/>
        </w:numPr>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可集成性需求：</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系统具备良好应用架构，各业务功能模块具备高度集成性和良好的配置性，以符合</w:t>
      </w:r>
      <w:r>
        <w:rPr>
          <w:rFonts w:hint="eastAsia" w:ascii="宋体" w:hAnsi="宋体" w:cs="宋体"/>
          <w:color w:val="000000"/>
          <w:sz w:val="24"/>
          <w:szCs w:val="24"/>
          <w:lang w:val="en-US" w:eastAsia="zh-CN"/>
        </w:rPr>
        <w:t xml:space="preserve">行业</w:t>
      </w:r>
      <w:r>
        <w:rPr>
          <w:rFonts w:hint="eastAsia" w:ascii="宋体" w:hAnsi="宋体" w:eastAsia="宋体" w:cs="宋体"/>
          <w:color w:val="000000"/>
          <w:sz w:val="24"/>
          <w:szCs w:val="24"/>
          <w:lang w:eastAsia="zh-CN"/>
        </w:rPr>
        <w:t xml:space="preserve">标准下一代临床研究信息化技术平台的发展趋势。</w:t>
      </w:r>
      <w:r/>
    </w:p>
    <w:p>
      <w:pPr>
        <w:numPr>
          <w:ilvl w:val="0"/>
          <w:numId w:val="5"/>
        </w:numPr>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兼容性需求：</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数据库服务器和应用服务器支持Windows系统操作系统；</w:t>
      </w:r>
      <w:r/>
    </w:p>
    <w:p>
      <w:pPr>
        <w:ind w:firstLine="480"/>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支持Edge、Chrome浏览器。</w:t>
      </w:r>
      <w:r/>
    </w:p>
    <w:p>
      <w:pPr>
        <w:numPr>
          <w:ilvl w:val="0"/>
          <w:numId w:val="5"/>
        </w:numPr>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易用性需求：</w:t>
      </w:r>
      <w:r/>
    </w:p>
    <w:p>
      <w:pPr>
        <w:ind w:firstLine="480"/>
        <w:keepLines w:val="0"/>
        <w:keepNext w:val="0"/>
        <w:pageBreakBefore w:val="0"/>
        <w:spacing w:line="24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软件采用类似于Window的操作模式，简单易用。</w:t>
      </w:r>
      <w:r/>
    </w:p>
    <w:p>
      <w:pPr>
        <w:ind w:firstLine="480"/>
        <w:keepLines w:val="0"/>
        <w:keepNext w:val="0"/>
        <w:pageBreakBefore w:val="0"/>
        <w:spacing w:line="24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系统界面设计采用人性化的设计，以任务栏与向导相结合的方式简化操作。</w:t>
      </w:r>
      <w:r/>
    </w:p>
    <w:p>
      <w:pPr>
        <w:numPr>
          <w:ilvl w:val="0"/>
          <w:numId w:val="5"/>
        </w:numPr>
        <w:jc w:val="both"/>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架构要求：</w:t>
      </w:r>
      <w:r/>
    </w:p>
    <w:p>
      <w:pPr>
        <w:ind w:firstLine="480"/>
        <w:keepLines w:val="0"/>
        <w:keepNext w:val="0"/>
        <w:pageBreakBefore w:val="0"/>
        <w:spacing w:line="24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符合临床研究信息化管理发展趋势的电子临床技术架构，安全性设计和信息管理符合</w:t>
      </w:r>
      <w:r>
        <w:rPr>
          <w:rFonts w:hint="eastAsia" w:ascii="宋体" w:hAnsi="宋体" w:cs="宋体"/>
          <w:bCs/>
          <w:color w:val="000000"/>
          <w:sz w:val="24"/>
          <w:szCs w:val="24"/>
          <w:lang w:val="en-US" w:eastAsia="zh-CN"/>
        </w:rPr>
        <w:t xml:space="preserve">GCP行业标准</w:t>
      </w:r>
      <w:r>
        <w:rPr>
          <w:rFonts w:hint="eastAsia" w:ascii="宋体" w:hAnsi="宋体" w:eastAsia="宋体" w:cs="宋体"/>
          <w:bCs/>
          <w:color w:val="000000"/>
          <w:sz w:val="24"/>
          <w:szCs w:val="24"/>
          <w:lang w:eastAsia="zh-CN"/>
        </w:rPr>
        <w:t xml:space="preserve">的规范要求，</w:t>
      </w:r>
      <w:r>
        <w:rPr>
          <w:rFonts w:hint="eastAsia" w:ascii="宋体" w:hAnsi="宋体" w:eastAsia="宋体" w:cs="宋体"/>
          <w:bCs/>
          <w:color w:val="000000"/>
          <w:sz w:val="24"/>
          <w:szCs w:val="24"/>
        </w:rPr>
        <w:t xml:space="preserve">管理</w:t>
      </w:r>
      <w:r>
        <w:rPr>
          <w:rFonts w:hint="eastAsia" w:ascii="宋体" w:hAnsi="宋体" w:eastAsia="宋体" w:cs="宋体"/>
          <w:bCs/>
          <w:color w:val="000000"/>
          <w:sz w:val="24"/>
          <w:szCs w:val="24"/>
          <w:lang w:eastAsia="zh-CN"/>
        </w:rPr>
        <w:t xml:space="preserve">平台具有良好的扩展性。</w:t>
      </w:r>
      <w:r/>
    </w:p>
    <w:p>
      <w:pPr>
        <w:numPr>
          <w:ilvl w:val="0"/>
          <w:numId w:val="6"/>
        </w:numPr>
        <w:ind w:firstLine="480"/>
        <w:keepLines w:val="0"/>
        <w:keepNext w:val="0"/>
        <w:pageBreakBefore w:val="0"/>
        <w:spacing w:line="240" w:lineRule="auto"/>
        <w:rPr>
          <w:rFonts w:hint="eastAsia" w:ascii="宋体" w:hAnsi="宋体" w:cs="宋体"/>
          <w:color w:val="000000"/>
          <w:sz w:val="24"/>
          <w:szCs w:val="24"/>
          <w:lang w:val="en-US" w:eastAsia="zh-CN"/>
        </w:rPr>
        <w:outlineLvl w:val="1"/>
      </w:pPr>
      <w:r>
        <w:rPr>
          <w:rFonts w:hint="eastAsia" w:ascii="宋体" w:hAnsi="宋体" w:eastAsia="宋体" w:cs="宋体"/>
          <w:color w:val="000000"/>
          <w:sz w:val="24"/>
          <w:szCs w:val="24"/>
        </w:rPr>
        <w:t xml:space="preserve">研究型病房信息管理平台功能</w:t>
      </w:r>
      <w:r>
        <w:rPr>
          <w:rFonts w:hint="eastAsia" w:ascii="宋体" w:hAnsi="宋体" w:cs="宋体"/>
          <w:color w:val="000000"/>
          <w:sz w:val="24"/>
          <w:szCs w:val="24"/>
          <w:lang w:val="en-US" w:eastAsia="zh-CN"/>
        </w:rPr>
        <w:t xml:space="preserve">要求</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1081"/>
        <w:gridCol w:w="1495"/>
        <w:gridCol w:w="7386"/>
      </w:tblGrid>
      <w:tr>
        <w:trPr>
          <w:trHeight w:val="687"/>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子系统名称</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cs="宋体"/>
                <w:color w:val="000000"/>
                <w:sz w:val="24"/>
                <w:szCs w:val="24"/>
              </w:rPr>
              <w:t xml:space="preserve">功能需求</w:t>
            </w:r>
            <w:r/>
          </w:p>
        </w:tc>
      </w:tr>
      <w:tr>
        <w:trPr>
          <w:trHeight w:val="112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1.生物样本管理系统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bCs/>
                <w:sz w:val="24"/>
                <w:szCs w:val="24"/>
              </w:rPr>
            </w:pPr>
            <w:r>
              <w:rPr>
                <w:rFonts w:hint="eastAsia" w:ascii="宋体" w:hAnsi="宋体" w:cs="宋体"/>
                <w:sz w:val="24"/>
                <w:szCs w:val="24"/>
              </w:rPr>
              <w:t xml:space="preserve">1.1项目信息</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在项目信息模块中创建临床项目信息，项目方案的基本信息通过调取系统中的项目信息，创建受试者编号，根据项目需要分配相应的人员；根据方案要求添加样本类型及配置所采集样本的操作流程；根据方案添加给药（可选择不同的给药方式）及样本采集时间点。当项目方案创建完成之后，将创建好的方案应用至相关的受试者号中，系统自动生成样本条码（采血管及冻存管）。</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2）▲当样本处理完成，可查看样本相关的稽查轨迹。</w:t>
            </w:r>
            <w:r/>
          </w:p>
        </w:tc>
      </w:tr>
      <w:tr>
        <w:trPr>
          <w:trHeight w:val="90"/>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sz w:val="24"/>
                <w:szCs w:val="24"/>
              </w:rPr>
            </w:pPr>
            <w:r>
              <w:rPr>
                <w:rFonts w:hint="eastAsia" w:ascii="宋体" w:hAnsi="宋体" w:cs="宋体"/>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bCs/>
                <w:sz w:val="24"/>
                <w:szCs w:val="24"/>
              </w:rPr>
            </w:pPr>
            <w:r>
              <w:rPr>
                <w:rFonts w:hint="eastAsia" w:ascii="宋体" w:hAnsi="宋体" w:cs="宋体"/>
                <w:sz w:val="24"/>
                <w:szCs w:val="24"/>
              </w:rPr>
              <w:t xml:space="preserve">1.2报表管理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1）根据不同需求可创建不同报表，并导出相关数据，如样本处理表，离心记录表，样本采集统计等。</w:t>
            </w:r>
            <w:r/>
          </w:p>
        </w:tc>
      </w:tr>
      <w:tr>
        <w:trPr>
          <w:trHeight w:val="112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sz w:val="24"/>
                <w:szCs w:val="24"/>
              </w:rPr>
            </w:pPr>
            <w:r>
              <w:rPr>
                <w:rFonts w:hint="eastAsia" w:ascii="宋体" w:hAnsi="宋体" w:cs="宋体"/>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1.3条码打印</w:t>
            </w:r>
            <w:r/>
          </w:p>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1）系统对样本的信息进行全程化的条形码管理，根据信息设置和制定编码的规则，满足样本库建立时要求的共享和唯一的原则</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2）选择相应的项目/周期/访视/时间点，批量打印标签，包含采血管条码和相应的冻存管标签。</w:t>
            </w:r>
            <w:r/>
          </w:p>
        </w:tc>
      </w:tr>
      <w:tr>
        <w:trPr>
          <w:trHeight w:val="112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sz w:val="24"/>
                <w:szCs w:val="24"/>
              </w:rPr>
            </w:pPr>
            <w:r>
              <w:rPr>
                <w:rFonts w:hint="eastAsia" w:ascii="宋体" w:hAnsi="宋体" w:cs="宋体"/>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bCs/>
                <w:sz w:val="24"/>
                <w:szCs w:val="24"/>
              </w:rPr>
            </w:pPr>
            <w:r>
              <w:rPr>
                <w:rFonts w:hint="eastAsia" w:ascii="宋体" w:hAnsi="宋体" w:cs="宋体"/>
                <w:bCs/>
                <w:sz w:val="24"/>
                <w:szCs w:val="24"/>
              </w:rPr>
              <w:t xml:space="preserve">1.4生物样本管理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支持受试者扫码确认身份；</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★支持受试者采血管、受试者采血点等唯一码的管理；</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支持操作者扫码确认标本码，系统自动记录操作时间；</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支持采血管/药物扫码确认；</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支持采血/给药操作，在线确认，系统自动记录时间；</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支持实时质控，如失败，可记录原因；</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支持采集过程中逻辑检测，如空白血未采的情况下给药，系统将进行提示；</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异常处理，支持数据补录，采血增补操作；</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支持标本码，药物编号打印，支持备份码打印；</w:t>
            </w:r>
            <w:r/>
          </w:p>
          <w:p>
            <w:pPr>
              <w:pStyle w:val="972"/>
              <w:numPr>
                <w:ilvl w:val="0"/>
                <w:numId w:val="7"/>
              </w:numPr>
              <w:spacing w:line="264" w:lineRule="auto"/>
              <w:rPr>
                <w:rFonts w:ascii="宋体" w:hAnsi="宋体" w:cs="宋体"/>
                <w:bCs/>
                <w:color w:val="000000"/>
                <w:lang w:eastAsia="zh-CN"/>
              </w:rPr>
            </w:pPr>
            <w:r>
              <w:rPr>
                <w:rFonts w:hint="eastAsia" w:ascii="宋体" w:hAnsi="宋体" w:cs="宋体"/>
                <w:bCs/>
                <w:color w:val="000000"/>
                <w:lang w:eastAsia="zh-CN"/>
              </w:rPr>
              <w:t xml:space="preserve">支</w:t>
            </w:r>
            <w:r>
              <w:rPr>
                <w:rFonts w:hint="eastAsia" w:ascii="宋体" w:hAnsi="宋体" w:cs="宋体"/>
                <w:bCs/>
                <w:color w:val="000000"/>
              </w:rPr>
              <w:t xml:space="preserve">持填写采样备注；</w:t>
            </w:r>
            <w:r/>
          </w:p>
          <w:p>
            <w:pPr>
              <w:pStyle w:val="972"/>
              <w:numPr>
                <w:ilvl w:val="0"/>
                <w:numId w:val="7"/>
              </w:numPr>
              <w:spacing w:line="264" w:lineRule="auto"/>
              <w:rPr>
                <w:rFonts w:hint="eastAsia" w:ascii="宋体" w:hAnsi="宋体" w:cs="宋体"/>
                <w:bCs/>
                <w:color w:val="000000"/>
                <w:lang w:eastAsia="zh-CN"/>
              </w:rPr>
            </w:pPr>
            <w:r>
              <w:rPr>
                <w:rFonts w:hint="eastAsia" w:ascii="宋体" w:hAnsi="宋体" w:cs="宋体"/>
                <w:bCs/>
                <w:color w:val="000000"/>
                <w:lang w:eastAsia="zh-CN"/>
              </w:rPr>
              <w:t xml:space="preserve">支持样本交接、离心、冻存、转移管理。</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12"/>
              <w:rPr>
                <w:rFonts w:hint="eastAsia" w:ascii="宋体" w:hAnsi="宋体" w:cs="宋体"/>
                <w:bCs/>
                <w:sz w:val="24"/>
                <w:szCs w:val="24"/>
              </w:rPr>
            </w:pPr>
            <w:r>
              <w:rPr>
                <w:rFonts w:hint="eastAsia" w:ascii="宋体" w:hAnsi="宋体" w:cs="宋体"/>
                <w:bCs/>
                <w:sz w:val="24"/>
                <w:szCs w:val="24"/>
              </w:rPr>
              <w:t xml:space="preserve">2.科研病房管理系统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2.1病房病床管理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pStyle w:val="972"/>
              <w:numPr>
                <w:ilvl w:val="0"/>
                <w:numId w:val="8"/>
              </w:numPr>
              <w:spacing w:line="264" w:lineRule="auto"/>
              <w:rPr>
                <w:rFonts w:hint="eastAsia" w:ascii="宋体" w:hAnsi="宋体" w:eastAsia="宋体" w:cs="宋体"/>
                <w:bCs/>
                <w:color w:val="000000"/>
                <w:lang w:eastAsia="zh-CN"/>
              </w:rPr>
            </w:pPr>
            <w:r>
              <w:rPr>
                <w:rFonts w:hint="eastAsia" w:ascii="宋体" w:hAnsi="宋体" w:eastAsia="宋体" w:cs="宋体"/>
                <w:bCs/>
                <w:color w:val="000000"/>
                <w:lang w:eastAsia="zh-CN"/>
              </w:rPr>
              <w:t xml:space="preserve">支持可视化查看病房病床使用情况；</w:t>
            </w:r>
            <w:r/>
          </w:p>
          <w:p>
            <w:pPr>
              <w:pStyle w:val="972"/>
              <w:numPr>
                <w:ilvl w:val="0"/>
                <w:numId w:val="8"/>
              </w:numPr>
              <w:spacing w:line="264" w:lineRule="auto"/>
              <w:rPr>
                <w:rFonts w:hint="eastAsia" w:ascii="宋体" w:hAnsi="宋体" w:eastAsia="宋体" w:cs="宋体"/>
                <w:bCs/>
                <w:color w:val="000000"/>
                <w:lang w:eastAsia="zh-CN"/>
              </w:rPr>
            </w:pPr>
            <w:r>
              <w:rPr>
                <w:rFonts w:hint="eastAsia" w:ascii="宋体" w:hAnsi="宋体" w:eastAsia="宋体" w:cs="宋体"/>
                <w:bCs/>
                <w:color w:val="000000"/>
                <w:lang w:eastAsia="zh-CN"/>
              </w:rPr>
              <w:t xml:space="preserve">支持在线安排受试者入院和出院；</w:t>
            </w:r>
            <w:r/>
          </w:p>
          <w:p>
            <w:pPr>
              <w:pStyle w:val="972"/>
              <w:numPr>
                <w:ilvl w:val="0"/>
                <w:numId w:val="8"/>
              </w:numPr>
              <w:spacing w:line="264" w:lineRule="auto"/>
              <w:rPr>
                <w:rFonts w:hint="eastAsia" w:ascii="宋体" w:hAnsi="宋体" w:eastAsia="宋体" w:cs="宋体"/>
                <w:bCs/>
                <w:color w:val="000000"/>
                <w:lang w:eastAsia="zh-CN"/>
              </w:rPr>
            </w:pPr>
            <w:r>
              <w:rPr>
                <w:rFonts w:hint="eastAsia" w:ascii="宋体" w:hAnsi="宋体" w:eastAsia="宋体" w:cs="宋体"/>
                <w:bCs/>
                <w:color w:val="000000"/>
                <w:lang w:eastAsia="zh-CN"/>
              </w:rPr>
              <w:t xml:space="preserve">支持变更病房病床状态；</w:t>
            </w:r>
            <w:r/>
          </w:p>
          <w:p>
            <w:pPr>
              <w:pStyle w:val="972"/>
              <w:numPr>
                <w:ilvl w:val="0"/>
                <w:numId w:val="8"/>
              </w:numPr>
              <w:spacing w:line="264" w:lineRule="auto"/>
              <w:rPr>
                <w:rFonts w:hint="eastAsia" w:ascii="宋体" w:hAnsi="宋体" w:eastAsia="宋体" w:cs="宋体"/>
                <w:bCs/>
                <w:color w:val="000000"/>
                <w:lang w:eastAsia="zh-CN"/>
              </w:rPr>
            </w:pPr>
            <w:r>
              <w:rPr>
                <w:rFonts w:hint="eastAsia" w:ascii="宋体" w:hAnsi="宋体" w:eastAsia="宋体" w:cs="宋体"/>
                <w:bCs/>
                <w:color w:val="000000"/>
                <w:lang w:eastAsia="zh-CN"/>
              </w:rPr>
              <w:t xml:space="preserve">▲支持按项目查看病房病床信息及入住受试者信息；</w:t>
            </w:r>
            <w:r/>
          </w:p>
          <w:p>
            <w:pPr>
              <w:pStyle w:val="972"/>
              <w:numPr>
                <w:ilvl w:val="0"/>
                <w:numId w:val="8"/>
              </w:numPr>
              <w:spacing w:line="264" w:lineRule="auto"/>
              <w:rPr>
                <w:rFonts w:hint="eastAsia" w:ascii="宋体" w:hAnsi="宋体" w:cs="宋体"/>
                <w:bCs/>
                <w:color w:val="000000"/>
                <w:lang w:eastAsia="zh-CN"/>
              </w:rPr>
            </w:pPr>
            <w:r>
              <w:rPr>
                <w:rFonts w:hint="eastAsia" w:ascii="宋体" w:hAnsi="宋体" w:eastAsia="宋体" w:cs="宋体"/>
                <w:bCs/>
                <w:color w:val="000000"/>
                <w:lang w:eastAsia="zh-CN"/>
              </w:rPr>
              <w:t xml:space="preserve">支持和血压计、身高体重仪设备的对接。</w:t>
            </w:r>
            <w:r/>
          </w:p>
        </w:tc>
      </w:tr>
      <w:tr>
        <w:trPr>
          <w:trHeight w:val="90"/>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pStyle w:val="712"/>
              <w:rPr>
                <w:rFonts w:hint="eastAsia" w:ascii="宋体" w:hAnsi="宋体" w:cs="宋体"/>
                <w:bCs/>
                <w:sz w:val="24"/>
                <w:szCs w:val="24"/>
              </w:rPr>
            </w:pPr>
            <w:r>
              <w:rPr>
                <w:rFonts w:hint="eastAsia" w:ascii="宋体" w:hAnsi="宋体" w:cs="宋体"/>
                <w:bCs/>
                <w:sz w:val="24"/>
                <w:szCs w:val="24"/>
              </w:rPr>
              <w:t xml:space="preserve">3.智能招募管理系统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3.1项目入排标准配置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1）▲支持基于研究方案定义受试者筛选参数包括性别、年龄、地区、肿瘤部位、肿瘤分期，病理类型，基因突变，治疗史，传染病史等。</w:t>
            </w:r>
            <w:r/>
          </w:p>
        </w:tc>
      </w:tr>
      <w:tr>
        <w:trPr>
          <w:trHeight w:val="90"/>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3.2潜在受试者筛选</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1）按项目入排标准与患者进行匹配，形成潜在受试者列表。</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3.3研究者判定</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1）支持按项目配置标记信息，研究者通过潜在受试者列表进行判定并对潜在受试者进行标记，包括治疗方案、适用药物等。</w:t>
            </w:r>
            <w:r/>
          </w:p>
        </w:tc>
      </w:tr>
      <w:tr>
        <w:trPr>
          <w:trHeight w:val="90"/>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3.4潜在受试者标记推送</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1）系统支持将标记信息推送给医院HIS系统，潜在受试者就诊时进行提醒。</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pStyle w:val="712"/>
              <w:rPr>
                <w:rFonts w:hint="eastAsia" w:ascii="宋体" w:hAnsi="宋体" w:cs="宋体"/>
                <w:bCs/>
                <w:sz w:val="24"/>
                <w:szCs w:val="24"/>
              </w:rPr>
            </w:pPr>
            <w:r>
              <w:rPr>
                <w:rFonts w:hint="eastAsia" w:ascii="宋体" w:hAnsi="宋体" w:cs="宋体"/>
                <w:bCs/>
                <w:sz w:val="24"/>
                <w:szCs w:val="24"/>
              </w:rPr>
              <w:t xml:space="preserve">4.临床科研病例采集管理系统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4.1项目管理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1）提供临床试验项目基本管理，包括项目名称、期别、研究中心负责部门、申办方、CRO、项目状态等；</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2）支持项目状态包括新建、在研、终止、结束等状态；</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3）★项目研究参数管理包括访视阶段、随访、非计划随访等。</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4.2项目管理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1）提供临床试验项目基本管理，包括项目名称、期别、研究中心负责部门、申办方、CRO、项目状态等；</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2）支持项目状态包括新建、在研、终止、结束等状态；</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3）★项目研究参数管理包括访视阶段、随访、非计划随访等。</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4.3受试者管理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1）提供受试者基本信息管理功能，包括受试者编号、筛选编号、出生日期、随机编号、药物编号、状态等；</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2）试者状态包括入组、试验、脱落、结束等；</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fldChar w:fldCharType="begin"/>
            </w:r>
            <w:r>
              <w:instrText xml:space="preserve"> HYPERLINK "http://192.168.133.168:8000/" \o "http://192.168.133.168:8000/" </w:instrText>
            </w:r>
            <w:r>
              <w:fldChar w:fldCharType="separate"/>
            </w:r>
            <w:r>
              <w:rPr>
                <w:rFonts w:hint="eastAsia" w:ascii="宋体" w:hAnsi="宋体" w:cs="宋体"/>
                <w:bCs/>
                <w:color w:val="000000"/>
                <w:sz w:val="24"/>
                <w:szCs w:val="24"/>
              </w:rPr>
              <w:t xml:space="preserve">受试者鉴认代码表</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导出。</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4.4数据录入</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1）▲提供受试者临床病例数据在线录入功能，包括数据暂存等功能；</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2）提供数据录入用户角色，严格区分数据录入与数据质量管理。</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3）提供数据录入全视图展示，全面掌握对数据录入进展</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4.5数据管理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1）支持可配置的数据自动核查、质疑自动生成的功能；</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2）支持人工创建质疑；</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3）提供质疑生成、解决、关闭的管理功能；</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4）▲提供质疑汇总列表，方便研究者及相关成员及时进行查阅、整改、反馈情况。</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4.6数据导出</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1）支持受试者病例数据按照CSV、XML等格式的数据导出；</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2）★支持电子病例报告册导出。</w:t>
            </w:r>
            <w:r/>
          </w:p>
        </w:tc>
      </w:tr>
      <w:tr>
        <w:trPr>
          <w:trHeight w:val="90"/>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4.7项目人员及职责管理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1）实现对项目参与人员、人员的职责、权限的分配、跟踪管理。</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712"/>
              <w:rPr>
                <w:rFonts w:hint="eastAsia" w:ascii="宋体" w:hAnsi="宋体" w:cs="宋体"/>
                <w:bCs/>
                <w:sz w:val="24"/>
                <w:szCs w:val="24"/>
              </w:rPr>
            </w:pPr>
            <w:r>
              <w:rPr>
                <w:rFonts w:hint="eastAsia" w:ascii="宋体" w:hAnsi="宋体" w:cs="宋体"/>
                <w:bCs/>
                <w:sz w:val="24"/>
                <w:szCs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rPr>
                <w:rFonts w:hint="eastAsia" w:ascii="宋体" w:hAnsi="宋体" w:cs="宋体"/>
                <w:sz w:val="24"/>
                <w:szCs w:val="24"/>
              </w:rPr>
            </w:pPr>
            <w:r>
              <w:rPr>
                <w:rFonts w:hint="eastAsia" w:ascii="宋体" w:hAnsi="宋体" w:cs="宋体"/>
                <w:sz w:val="24"/>
                <w:szCs w:val="24"/>
              </w:rPr>
              <w:t xml:space="preserve">4.8稽查痕迹管理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1）支持临床科研病例数据的生命周期跟踪；</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2）★提供数据修改痕迹跟踪，包括变化前后的值，变化的原因及谁在什么时间修改的。</w:t>
            </w:r>
            <w:r/>
          </w:p>
        </w:tc>
      </w:tr>
      <w:tr>
        <w:trPr>
          <w:trHeight w:val="696"/>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12"/>
              <w:rPr>
                <w:rFonts w:hint="eastAsia" w:ascii="宋体" w:hAnsi="宋体" w:cs="宋体"/>
                <w:bCs/>
                <w:sz w:val="24"/>
                <w:szCs w:val="24"/>
              </w:rPr>
            </w:pPr>
            <w:r>
              <w:rPr>
                <w:rFonts w:hint="eastAsia" w:ascii="宋体" w:hAnsi="宋体" w:cs="宋体"/>
                <w:bCs/>
                <w:sz w:val="24"/>
                <w:szCs w:val="24"/>
              </w:rPr>
              <w:t xml:space="preserve">5.临床研究信息集成平台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pStyle w:val="712"/>
              <w:jc w:val="left"/>
              <w:rPr>
                <w:rFonts w:hint="eastAsia" w:ascii="宋体" w:hAnsi="宋体" w:cs="宋体"/>
                <w:sz w:val="24"/>
                <w:szCs w:val="24"/>
              </w:rPr>
            </w:pPr>
            <w:r>
              <w:rPr>
                <w:rFonts w:hint="eastAsia" w:ascii="宋体" w:hAnsi="宋体" w:cs="宋体"/>
                <w:sz w:val="24"/>
                <w:szCs w:val="24"/>
              </w:rPr>
              <w:t xml:space="preserve">相关数据接口</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86" w:type="dxa"/>
            <w:vAlign w:val="center"/>
            <w:textDirection w:val="lrTb"/>
            <w:noWrap w:val="false"/>
          </w:tcPr>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1）提供与医院业务系统（包括HIS、LIS、EMR等）数据交互的标准接口解决方案；</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2）与医院信息系统HIS对接；</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3）与医院实验室信息系统LIS对接，获取患者检验结果等；</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4）采用Web Service方式进行接口数据交互；</w:t>
            </w:r>
            <w:r/>
          </w:p>
          <w:p>
            <w:pPr>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5）完成与医院集成平台对接，进行接口管控和数据交互。</w:t>
            </w:r>
            <w:r/>
          </w:p>
        </w:tc>
      </w:tr>
    </w:tbl>
    <w:p>
      <w:pPr>
        <w:ind w:firstLine="0"/>
        <w:keepLines w:val="0"/>
        <w:keepNext w:val="0"/>
        <w:pageBreakBefore w:val="0"/>
        <w:spacing w:line="264" w:lineRule="auto"/>
        <w:widowControl w:val="off"/>
        <w:rPr>
          <w:rFonts w:hint="eastAsia"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14:ligatures w14:val="none"/>
        </w:rPr>
      </w:r>
      <w:r/>
    </w:p>
    <w:p>
      <w:pPr>
        <w:ind w:firstLine="480"/>
        <w:keepLines w:val="0"/>
        <w:keepNext w:val="0"/>
        <w:pageBreakBefore w:val="0"/>
        <w:spacing w:line="264" w:lineRule="auto"/>
        <w:widowControl w:val="off"/>
        <w:rPr>
          <w:rFonts w:hint="eastAsia"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（二）商务要求</w:t>
      </w:r>
      <w:r/>
    </w:p>
    <w:p>
      <w:pPr>
        <w:ind w:firstLine="480"/>
        <w:keepLines w:val="0"/>
        <w:keepNext w:val="0"/>
        <w:pageBreakBefore w:val="0"/>
        <w:spacing w:line="264" w:lineRule="auto"/>
        <w:widowControl w:val="off"/>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rPr>
        <w:t xml:space="preserve">1.报价要求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w:t>
      </w:r>
      <w:r>
        <w:rPr>
          <w:rFonts w:hint="eastAsia" w:ascii="宋体" w:hAnsi="宋体" w:eastAsia="宋体" w:cs="宋体"/>
          <w:sz w:val="24"/>
          <w:szCs w:val="24"/>
        </w:rPr>
        <w:t xml:space="preserve">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质量要求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rPr>
        <w:t xml:space="preserve">采购</w:t>
      </w:r>
      <w:r>
        <w:rPr>
          <w:rFonts w:hint="eastAsia" w:ascii="宋体" w:hAnsi="宋体" w:cs="宋体"/>
          <w:color w:val="000000"/>
          <w:sz w:val="24"/>
          <w:szCs w:val="24"/>
          <w:lang w:val="en-US" w:eastAsia="zh-CN"/>
        </w:rPr>
        <w:t xml:space="preserve">任</w:t>
      </w:r>
      <w:r>
        <w:rPr>
          <w:rFonts w:hint="eastAsia" w:ascii="宋体" w:hAnsi="宋体" w:eastAsia="宋体" w:cs="宋体"/>
          <w:color w:val="000000"/>
          <w:sz w:val="24"/>
          <w:szCs w:val="24"/>
          <w:lang w:val="en-US" w:eastAsia="zh-CN" w:bidi="ar-SA"/>
        </w:rPr>
        <w:t xml:space="preserve">在使用过程中如发现服务本身存在质量问题，</w:t>
      </w:r>
      <w:r>
        <w:rPr>
          <w:rFonts w:hint="eastAsia" w:ascii="宋体" w:hAnsi="宋体" w:eastAsia="宋体" w:cs="宋体"/>
          <w:sz w:val="24"/>
          <w:szCs w:val="24"/>
        </w:rPr>
        <w:t xml:space="preserve">供应商</w:t>
      </w:r>
      <w:r>
        <w:rPr>
          <w:rFonts w:hint="eastAsia" w:ascii="宋体" w:hAnsi="宋体" w:cs="宋体"/>
          <w:color w:val="000000"/>
          <w:sz w:val="24"/>
          <w:szCs w:val="24"/>
          <w:lang w:val="en-US" w:eastAsia="zh-CN" w:bidi="ar-SA"/>
        </w:rPr>
        <w:t xml:space="preserve">负责</w:t>
      </w:r>
      <w:r>
        <w:rPr>
          <w:rFonts w:hint="eastAsia" w:ascii="宋体" w:hAnsi="宋体" w:eastAsia="宋体" w:cs="宋体"/>
          <w:color w:val="000000"/>
          <w:sz w:val="24"/>
          <w:szCs w:val="24"/>
          <w:lang w:val="en-US" w:eastAsia="zh-CN" w:bidi="ar-SA"/>
        </w:rPr>
        <w:t xml:space="preserve">修改</w:t>
      </w:r>
      <w:r>
        <w:rPr>
          <w:rFonts w:hint="eastAsia" w:ascii="宋体" w:hAnsi="宋体" w:cs="宋体"/>
          <w:color w:val="000000"/>
          <w:sz w:val="24"/>
          <w:szCs w:val="24"/>
          <w:lang w:val="en-US" w:eastAsia="zh-CN" w:bidi="ar-SA"/>
        </w:rPr>
        <w:t xml:space="preserve">，费用包含在报价中</w:t>
      </w:r>
      <w:r>
        <w:rPr>
          <w:rFonts w:hint="eastAsia" w:ascii="宋体" w:hAnsi="宋体" w:eastAsia="宋体" w:cs="宋体"/>
          <w:color w:val="000000"/>
          <w:sz w:val="24"/>
          <w:szCs w:val="24"/>
          <w:lang w:val="en-US" w:eastAsia="zh-CN" w:bidi="ar-SA"/>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（2）验收要求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（3）运维服务要求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①供应商应确保本次采购所有项目的安全稳定的运行，并提供不低于</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运维服务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以上费用包含在报价中</w:t>
      </w:r>
      <w:r>
        <w:rPr>
          <w:rFonts w:hint="eastAsia" w:ascii="宋体" w:hAnsi="宋体" w:eastAsia="宋体" w:cs="宋体"/>
          <w:sz w:val="24"/>
          <w:szCs w:val="24"/>
        </w:rPr>
        <w:t xml:space="preserve">（自验收报告签字确认日起，开始进入</w:t>
      </w:r>
      <w:r>
        <w:rPr>
          <w:rFonts w:hint="eastAsia" w:ascii="宋体" w:hAnsi="宋体" w:eastAsia="宋体" w:cs="宋体"/>
          <w:sz w:val="24"/>
          <w:szCs w:val="24"/>
          <w:lang w:val="en-US" w:eastAsia="zh-CN"/>
        </w:rPr>
        <w:t xml:space="preserve">运维期</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运维期</w:t>
      </w:r>
      <w:r>
        <w:rPr>
          <w:rFonts w:hint="eastAsia" w:ascii="宋体" w:hAnsi="宋体" w:eastAsia="宋体" w:cs="宋体"/>
          <w:sz w:val="24"/>
          <w:szCs w:val="24"/>
        </w:rPr>
        <w:t xml:space="preserve">内，本合同项目所有技术和服务发生任何非人为故障，由供应商负责系统恢复。故障报修的响应时间为即时，</w:t>
      </w:r>
      <w:r>
        <w:rPr>
          <w:rFonts w:hint="eastAsia" w:ascii="宋体" w:hAnsi="宋体" w:eastAsia="宋体" w:cs="宋体"/>
          <w:sz w:val="24"/>
          <w:szCs w:val="24"/>
          <w:lang w:val="en-US" w:eastAsia="zh-CN"/>
        </w:rPr>
        <w:t xml:space="preserve">若通过远程不能解决问题，</w:t>
      </w:r>
      <w:r>
        <w:rPr>
          <w:rFonts w:hint="eastAsia" w:ascii="宋体" w:hAnsi="宋体" w:eastAsia="宋体" w:cs="宋体"/>
          <w:sz w:val="24"/>
          <w:szCs w:val="24"/>
        </w:rPr>
        <w:t xml:space="preserve">到达现场的时间为</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2小时，小型故障恢复时间为4个小时，严重故障恢复时间为24小时内，并及时有效的提供解决方案。</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sz w:val="24"/>
          <w:szCs w:val="24"/>
          <w:lang w:val="en-US" w:eastAsia="zh-CN"/>
        </w:rPr>
        <w:t xml:space="preserve">运维期</w:t>
      </w:r>
      <w:r>
        <w:rPr>
          <w:rFonts w:hint="eastAsia" w:ascii="宋体" w:hAnsi="宋体" w:eastAsia="宋体" w:cs="宋体"/>
          <w:sz w:val="24"/>
          <w:szCs w:val="24"/>
        </w:rPr>
        <w:t xml:space="preserve">内，对采购人提出的合理服务要求，供应商必须即时进行电话、邮件及远程网络支持，</w:t>
      </w:r>
      <w:r>
        <w:rPr>
          <w:rFonts w:hint="eastAsia" w:ascii="宋体" w:hAnsi="宋体" w:eastAsia="宋体" w:cs="宋体"/>
          <w:sz w:val="24"/>
          <w:szCs w:val="24"/>
          <w:lang w:val="en-US" w:eastAsia="zh-CN"/>
        </w:rPr>
        <w:t xml:space="preserve">如通过远程不能解决问题，须</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2小时内到场服务。如不到场，采购人有权自行处理，相关费用由供应商负责。</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④供应商</w:t>
      </w:r>
      <w:r>
        <w:rPr>
          <w:rFonts w:hint="eastAsia" w:ascii="宋体" w:hAnsi="宋体" w:eastAsia="宋体" w:cs="宋体"/>
          <w:sz w:val="24"/>
          <w:szCs w:val="24"/>
          <w:lang w:val="en-US" w:eastAsia="zh-CN"/>
        </w:rPr>
        <w:t xml:space="preserve">须</w:t>
      </w:r>
      <w:r>
        <w:rPr>
          <w:rFonts w:hint="eastAsia" w:ascii="宋体" w:hAnsi="宋体" w:eastAsia="宋体" w:cs="宋体"/>
          <w:sz w:val="24"/>
          <w:szCs w:val="24"/>
        </w:rPr>
        <w:t xml:space="preserve">提供定期回访服务，对采购人提出的合理优化建议应提供</w:t>
      </w:r>
      <w:r>
        <w:rPr>
          <w:rFonts w:hint="eastAsia" w:ascii="宋体" w:hAnsi="宋体" w:eastAsia="宋体" w:cs="宋体"/>
          <w:sz w:val="24"/>
          <w:szCs w:val="24"/>
          <w:lang w:val="en-US" w:eastAsia="zh-CN"/>
        </w:rPr>
        <w:t xml:space="preserve">小版本内</w:t>
      </w:r>
      <w:r>
        <w:rPr>
          <w:rFonts w:hint="eastAsia" w:ascii="宋体" w:hAnsi="宋体" w:eastAsia="宋体" w:cs="宋体"/>
          <w:sz w:val="24"/>
          <w:szCs w:val="24"/>
        </w:rPr>
        <w:t xml:space="preserve">升级服务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费用包含在报价中</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⑤所有的服务方式均为供应商</w:t>
      </w:r>
      <w:r>
        <w:rPr>
          <w:rFonts w:hint="eastAsia" w:ascii="宋体" w:hAnsi="宋体" w:eastAsia="宋体" w:cs="宋体"/>
          <w:sz w:val="24"/>
          <w:szCs w:val="24"/>
          <w:lang w:val="en-US" w:eastAsia="zh-CN"/>
        </w:rPr>
        <w:t xml:space="preserve">远程或</w:t>
      </w:r>
      <w:r>
        <w:rPr>
          <w:rFonts w:hint="eastAsia" w:ascii="宋体" w:hAnsi="宋体" w:eastAsia="宋体" w:cs="宋体"/>
          <w:sz w:val="24"/>
          <w:szCs w:val="24"/>
        </w:rPr>
        <w:t xml:space="preserve">上门保修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由此产生的一切费用均由供应商承担。</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本项目实施人员不少于3人，其中项目经理1人，项目组所有人员必须为供应商正式工作人员，不得兼任其他项目工作，未经采购人同意，人员不得更换。</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1）采购人拥有本系统包括永久使用权；拥有本系统产生的所有数据的所有权。</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①满足采购人需求的、完整的、可最终良好运行的系统。</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（7）建设成果要求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④系统实施阶段：系统上线部署方案、软件安装说明书、软件使用说明书、系统安装光盘、系统培训方案、系统培训手册。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⑥运行维护阶段：系统维护方案、系统维护手册、系统运行维护记录。</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（8）系统对接要求</w:t>
      </w:r>
      <w:r/>
    </w:p>
    <w:p>
      <w:pPr>
        <w:ind w:firstLine="480"/>
        <w:keepLines w:val="0"/>
        <w:keepNext w:val="0"/>
        <w:pageBreakBefore w:val="0"/>
        <w:spacing w:line="264"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供应商提供的系统能够根据采购人实际需求与医院相关信息系统对接及集成，本项目中涉及的对接费用由供应商承担，采购人负责协调对接工作，联系方式（对接联系人：王珊珊 025-83117531，赵老师025-52865895）。</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color w:val="000000"/>
          <w:sz w:val="24"/>
          <w:szCs w:val="24"/>
          <w:lang w:eastAsia="zh-CN"/>
        </w:rPr>
        <w:t xml:space="preserve">合同签订后</w:t>
      </w:r>
      <w:r>
        <w:rPr>
          <w:rFonts w:hint="eastAsia" w:ascii="宋体" w:hAnsi="宋体" w:eastAsia="宋体" w:cs="宋体"/>
          <w:color w:val="000000"/>
          <w:sz w:val="24"/>
          <w:szCs w:val="24"/>
          <w:lang w:eastAsia="zh-CN"/>
        </w:rPr>
        <w:t xml:space="preserve">120</w:t>
      </w:r>
      <w:r>
        <w:rPr>
          <w:rFonts w:ascii="宋体" w:hAnsi="宋体" w:eastAsia="宋体" w:cs="宋体"/>
          <w:color w:val="000000"/>
          <w:sz w:val="24"/>
          <w:szCs w:val="24"/>
          <w:lang w:eastAsia="zh-CN"/>
        </w:rPr>
        <w:t xml:space="preserve">天内完成系统开发，</w:t>
      </w:r>
      <w:r>
        <w:rPr>
          <w:rFonts w:hint="eastAsia" w:ascii="宋体" w:hAnsi="宋体" w:eastAsia="宋体" w:cs="宋体"/>
          <w:color w:val="000000"/>
          <w:sz w:val="24"/>
          <w:szCs w:val="24"/>
          <w:lang w:eastAsia="zh-CN"/>
        </w:rPr>
        <w:t xml:space="preserve">180</w:t>
      </w:r>
      <w:r>
        <w:rPr>
          <w:rFonts w:ascii="宋体" w:hAnsi="宋体" w:eastAsia="宋体" w:cs="宋体"/>
          <w:color w:val="000000"/>
          <w:sz w:val="24"/>
          <w:szCs w:val="24"/>
          <w:lang w:eastAsia="zh-CN"/>
        </w:rPr>
        <w:t xml:space="preserve">天完成项目整体交付工作。</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3" w:name="OLE_LINK1"/>
      <w:r>
        <w:rPr>
          <w:rFonts w:hint="eastAsia" w:ascii="宋体" w:hAnsi="宋体" w:eastAsia="宋体" w:cs="宋体"/>
          <w:color w:val="000000"/>
          <w:sz w:val="24"/>
          <w:szCs w:val="24"/>
          <w:lang w:val="en-US" w:eastAsia="zh-CN"/>
        </w:rPr>
        <w:t xml:space="preserve">6.其他要求</w:t>
      </w:r>
      <w:bookmarkEnd w:id="23"/>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t xml:space="preserve">视频演示</w:t>
      </w:r>
      <w:r>
        <w:rPr>
          <w:rFonts w:hint="eastAsia" w:ascii="宋体" w:hAnsi="宋体" w:eastAsia="宋体" w:cs="宋体"/>
          <w:color w:val="000000"/>
          <w:sz w:val="24"/>
          <w:szCs w:val="24"/>
          <w:highlight w:val="none"/>
        </w:rPr>
        <w:t xml:space="preserve">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视频</w:t>
      </w:r>
      <w:r>
        <w:rPr>
          <w:rFonts w:hint="eastAsia" w:ascii="宋体" w:hAnsi="宋体" w:eastAsia="宋体" w:cs="宋体"/>
          <w:color w:val="000000"/>
          <w:sz w:val="24"/>
          <w:szCs w:val="24"/>
          <w:highlight w:val="none"/>
        </w:rPr>
        <w:t xml:space="preserve">要求</w:t>
      </w:r>
      <w:r>
        <w:rPr>
          <w:rFonts w:hint="eastAsia" w:ascii="宋体" w:hAnsi="宋体" w:eastAsia="宋体" w:cs="Times New Roman"/>
          <w:color w:val="000000"/>
          <w:sz w:val="24"/>
          <w:szCs w:val="24"/>
          <w:lang w:val="en-US" w:eastAsia="zh-CN"/>
        </w:rPr>
        <w:t xml:space="preserve">详见“第五章  评标方法与评标标准”。</w:t>
      </w:r>
      <w:r/>
    </w:p>
    <w:p>
      <w:pPr>
        <w:pStyle w:val="70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rPr>
          <w:rFonts w:hint="eastAsia"/>
          <w:lang w:val="en-US" w:eastAsia="zh-CN"/>
        </w:rPr>
      </w:pPr>
      <w:r>
        <w:rPr>
          <w:rFonts w:hint="eastAsia"/>
          <w:lang w:val="en-US" w:eastAsia="zh-CN"/>
        </w:rPr>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w:t>
      </w:r>
      <w:r>
        <w:rPr>
          <w:rFonts w:hint="eastAsia" w:ascii="宋体" w:hAnsi="宋体" w:eastAsia="宋体" w:cs="宋体"/>
          <w:color w:val="000000"/>
          <w:sz w:val="24"/>
          <w:szCs w:val="24"/>
        </w:rPr>
        <w:t xml:space="preserve">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p>
    <w:tbl>
      <w:tblPr>
        <w:tblStyle w:val="9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top"/>
            <w:textDirection w:val="lrTb"/>
            <w:noWrap w:val="false"/>
          </w:tcPr>
          <w:p>
            <w:pPr>
              <w:jc w:val="center"/>
              <w:keepLines w:val="0"/>
              <w:keepNext w:val="0"/>
              <w:pageBreakBefore w:val="0"/>
              <w:spacing w:before="122" w:line="240" w:lineRule="auto"/>
              <w:widowControl w:val="off"/>
              <w:rPr>
                <w:rFonts w:hint="eastAsia" w:ascii="宋体" w:hAnsi="宋体" w:eastAsia="宋体" w:cs="宋体"/>
                <w:b/>
                <w:bCs/>
                <w:color w:val="auto"/>
                <w:spacing w:val="-3"/>
                <w:sz w:val="24"/>
                <w:szCs w:val="24"/>
              </w:rPr>
            </w:pPr>
            <w:r>
              <w:rPr>
                <w:rFonts w:hint="eastAsia" w:ascii="宋体" w:hAnsi="宋体" w:eastAsia="宋体" w:cs="宋体"/>
                <w:b/>
                <w:bCs/>
                <w:color w:val="auto"/>
                <w:spacing w:val="-3"/>
                <w:sz w:val="24"/>
                <w:szCs w:val="24"/>
              </w:rPr>
              <w:t xml:space="preserve">序号</w:t>
            </w:r>
            <w:r/>
          </w:p>
        </w:tc>
        <w:tc>
          <w:tcPr>
            <w:tcW w:w="1179" w:type="dxa"/>
            <w:vAlign w:val="top"/>
            <w:textDirection w:val="lrTb"/>
            <w:noWrap w:val="false"/>
          </w:tcPr>
          <w:p>
            <w:pPr>
              <w:jc w:val="center"/>
              <w:keepLines w:val="0"/>
              <w:keepNext w:val="0"/>
              <w:pageBreakBefore w:val="0"/>
              <w:spacing w:before="122" w:line="240" w:lineRule="auto"/>
              <w:widowControl w:val="off"/>
              <w:rPr>
                <w:rFonts w:hint="eastAsia" w:ascii="宋体" w:hAnsi="宋体" w:eastAsia="宋体" w:cs="宋体"/>
                <w:b/>
                <w:bCs/>
                <w:color w:val="auto"/>
                <w:spacing w:val="-3"/>
                <w:sz w:val="24"/>
                <w:szCs w:val="24"/>
              </w:rPr>
            </w:pPr>
            <w:r>
              <w:rPr>
                <w:rFonts w:hint="eastAsia" w:ascii="宋体" w:hAnsi="宋体" w:eastAsia="宋体" w:cs="宋体"/>
                <w:b/>
                <w:bCs/>
                <w:color w:val="auto"/>
                <w:spacing w:val="-3"/>
                <w:sz w:val="24"/>
                <w:szCs w:val="24"/>
              </w:rPr>
              <w:t xml:space="preserve">评审因素</w:t>
            </w:r>
            <w:r/>
          </w:p>
        </w:tc>
        <w:tc>
          <w:tcPr>
            <w:tcW w:w="6330" w:type="dxa"/>
            <w:vAlign w:val="top"/>
            <w:textDirection w:val="lrTb"/>
            <w:noWrap w:val="false"/>
          </w:tcPr>
          <w:p>
            <w:pPr>
              <w:jc w:val="center"/>
              <w:keepLines w:val="0"/>
              <w:keepNext w:val="0"/>
              <w:pageBreakBefore w:val="0"/>
              <w:spacing w:before="122" w:line="240" w:lineRule="auto"/>
              <w:widowControl w:val="off"/>
              <w:rPr>
                <w:rFonts w:hint="eastAsia" w:ascii="宋体" w:hAnsi="宋体" w:eastAsia="宋体" w:cs="宋体"/>
                <w:b/>
                <w:bCs/>
                <w:color w:val="auto"/>
                <w:spacing w:val="-3"/>
                <w:sz w:val="24"/>
                <w:szCs w:val="24"/>
              </w:rPr>
            </w:pPr>
            <w:r>
              <w:rPr>
                <w:rFonts w:hint="eastAsia" w:ascii="宋体" w:hAnsi="宋体" w:eastAsia="宋体" w:cs="宋体"/>
                <w:b/>
                <w:bCs/>
                <w:color w:val="auto"/>
                <w:spacing w:val="-3"/>
                <w:sz w:val="24"/>
                <w:szCs w:val="24"/>
              </w:rPr>
              <w:t xml:space="preserve">评审细则</w:t>
            </w:r>
            <w:r/>
          </w:p>
        </w:tc>
        <w:tc>
          <w:tcPr>
            <w:tcW w:w="647" w:type="dxa"/>
            <w:vAlign w:val="top"/>
            <w:textDirection w:val="lrTb"/>
            <w:noWrap w:val="false"/>
          </w:tcPr>
          <w:p>
            <w:pPr>
              <w:jc w:val="center"/>
              <w:keepLines w:val="0"/>
              <w:keepNext w:val="0"/>
              <w:pageBreakBefore w:val="0"/>
              <w:spacing w:before="122" w:line="240" w:lineRule="auto"/>
              <w:widowControl w:val="off"/>
              <w:rPr>
                <w:rFonts w:hint="eastAsia" w:ascii="宋体" w:hAnsi="宋体" w:eastAsia="宋体" w:cs="宋体"/>
                <w:b/>
                <w:bCs/>
                <w:color w:val="auto"/>
                <w:spacing w:val="-3"/>
                <w:sz w:val="24"/>
                <w:szCs w:val="24"/>
              </w:rPr>
            </w:pPr>
            <w:r>
              <w:rPr>
                <w:rFonts w:hint="eastAsia" w:ascii="宋体" w:hAnsi="宋体" w:eastAsia="宋体" w:cs="宋体"/>
                <w:b/>
                <w:bCs/>
                <w:color w:val="auto"/>
                <w:spacing w:val="-3"/>
                <w:sz w:val="24"/>
                <w:szCs w:val="24"/>
              </w:rPr>
              <w:t xml:space="preserve">分值</w:t>
            </w:r>
            <w:r/>
          </w:p>
        </w:tc>
        <w:tc>
          <w:tcPr>
            <w:tcW w:w="900" w:type="dxa"/>
            <w:vAlign w:val="top"/>
            <w:textDirection w:val="lrTb"/>
            <w:noWrap w:val="false"/>
          </w:tcPr>
          <w:p>
            <w:pPr>
              <w:jc w:val="center"/>
              <w:keepLines w:val="0"/>
              <w:keepNext w:val="0"/>
              <w:pageBreakBefore w:val="0"/>
              <w:spacing w:before="122" w:line="240" w:lineRule="auto"/>
              <w:widowControl w:val="off"/>
              <w:rPr>
                <w:rFonts w:hint="eastAsia" w:ascii="宋体" w:hAnsi="宋体" w:eastAsia="宋体" w:cs="宋体"/>
                <w:b/>
                <w:bCs/>
                <w:color w:val="auto"/>
                <w:spacing w:val="-3"/>
                <w:sz w:val="24"/>
                <w:szCs w:val="24"/>
              </w:rPr>
            </w:pPr>
            <w:r>
              <w:rPr>
                <w:rFonts w:hint="eastAsia" w:ascii="宋体" w:hAnsi="宋体" w:eastAsia="宋体" w:cs="宋体"/>
                <w:b/>
                <w:bCs/>
                <w:color w:val="auto"/>
                <w:spacing w:val="-3"/>
                <w:sz w:val="24"/>
                <w:szCs w:val="24"/>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pacing w:val="-3"/>
                <w:sz w:val="24"/>
                <w:szCs w:val="24"/>
                <w:lang w:val="en-US" w:eastAsia="zh-CN"/>
              </w:rPr>
              <w:t xml:space="preserve">1.</w:t>
            </w:r>
            <w:r>
              <w:rPr>
                <w:rFonts w:hint="eastAsia" w:ascii="宋体" w:hAnsi="宋体" w:eastAsia="宋体" w:cs="宋体"/>
                <w:b/>
                <w:bCs/>
                <w:color w:val="auto"/>
                <w:spacing w:val="-3"/>
                <w:sz w:val="24"/>
                <w:szCs w:val="24"/>
              </w:rPr>
              <w:t xml:space="preserve">价</w:t>
            </w:r>
            <w:r>
              <w:rPr>
                <w:rFonts w:hint="eastAsia" w:ascii="宋体" w:hAnsi="宋体" w:eastAsia="宋体" w:cs="宋体"/>
                <w:b/>
                <w:bCs/>
                <w:color w:val="auto"/>
                <w:spacing w:val="-2"/>
                <w:sz w:val="24"/>
                <w:szCs w:val="24"/>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1</w:t>
            </w:r>
            <w:r>
              <w:rPr>
                <w:rFonts w:hint="eastAsia" w:ascii="宋体" w:hAnsi="宋体" w:eastAsia="宋体" w:cs="宋体"/>
                <w:color w:val="auto"/>
                <w:spacing w:val="-5"/>
                <w:sz w:val="24"/>
                <w:szCs w:val="24"/>
              </w:rPr>
              <w:t xml:space="preserve">.1</w:t>
            </w:r>
            <w:r/>
          </w:p>
        </w:tc>
        <w:tc>
          <w:tcPr>
            <w:tcW w:w="117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价格分</w:t>
            </w:r>
            <w:r/>
          </w:p>
        </w:tc>
        <w:tc>
          <w:tcPr>
            <w:tcW w:w="633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pacing w:val="0"/>
                <w:sz w:val="24"/>
                <w:szCs w:val="24"/>
              </w:rPr>
              <w:t xml:space="preserve">采用低价优先</w:t>
            </w:r>
            <w:r>
              <w:rPr>
                <w:rFonts w:hint="eastAsia" w:ascii="宋体" w:hAnsi="宋体" w:eastAsia="宋体" w:cs="宋体"/>
                <w:color w:val="auto"/>
                <w:sz w:val="24"/>
                <w:szCs w:val="24"/>
              </w:rPr>
              <w:t xml:space="preserve">法计算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即满足</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文件要求且</w:t>
            </w:r>
            <w:r>
              <w:rPr>
                <w:rFonts w:hint="eastAsia" w:ascii="宋体" w:hAnsi="宋体" w:eastAsia="宋体" w:cs="宋体"/>
                <w:color w:val="auto"/>
                <w:sz w:val="24"/>
                <w:szCs w:val="24"/>
                <w:lang w:eastAsia="zh-CN"/>
              </w:rPr>
              <w:t xml:space="preserve">最终报价</w:t>
            </w:r>
            <w:r>
              <w:rPr>
                <w:rFonts w:hint="eastAsia" w:ascii="宋体" w:hAnsi="宋体" w:eastAsia="宋体" w:cs="宋体"/>
                <w:color w:val="auto"/>
                <w:sz w:val="24"/>
                <w:szCs w:val="24"/>
              </w:rPr>
              <w:t xml:space="preserve">最低的</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pacing w:val="0"/>
                <w:sz w:val="24"/>
                <w:szCs w:val="24"/>
              </w:rPr>
              <w:t xml:space="preserve">报价为评标基准</w:t>
            </w:r>
            <w:r>
              <w:rPr>
                <w:rFonts w:hint="eastAsia" w:ascii="宋体" w:hAnsi="宋体" w:eastAsia="宋体" w:cs="宋体"/>
                <w:color w:val="auto"/>
                <w:sz w:val="24"/>
                <w:szCs w:val="24"/>
              </w:rPr>
              <w:t xml:space="preserve">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其价格分为满分。其他</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的价格分统一按</w:t>
            </w:r>
            <w:r>
              <w:rPr>
                <w:rFonts w:hint="eastAsia" w:ascii="宋体" w:hAnsi="宋体" w:eastAsia="宋体" w:cs="宋体"/>
                <w:color w:val="auto"/>
                <w:spacing w:val="0"/>
                <w:sz w:val="24"/>
                <w:szCs w:val="24"/>
              </w:rPr>
              <w:t xml:space="preserve">照下列公</w:t>
            </w:r>
            <w:r>
              <w:rPr>
                <w:rFonts w:hint="eastAsia" w:ascii="宋体" w:hAnsi="宋体" w:eastAsia="宋体" w:cs="宋体"/>
                <w:color w:val="auto"/>
                <w:sz w:val="24"/>
                <w:szCs w:val="24"/>
              </w:rPr>
              <w:t xml:space="preserve">式计算：报价得分=(评标基准价/</w:t>
            </w:r>
            <w:r>
              <w:rPr>
                <w:rFonts w:hint="eastAsia" w:ascii="宋体" w:hAnsi="宋体" w:eastAsia="宋体" w:cs="宋体"/>
                <w:color w:val="auto"/>
                <w:sz w:val="24"/>
                <w:szCs w:val="24"/>
                <w:lang w:eastAsia="zh-CN"/>
              </w:rPr>
              <w:t xml:space="preserve">最终</w:t>
            </w:r>
            <w:r>
              <w:rPr>
                <w:rFonts w:hint="eastAsia" w:ascii="宋体" w:hAnsi="宋体" w:eastAsia="宋体" w:cs="宋体"/>
                <w:color w:val="auto"/>
                <w:sz w:val="24"/>
                <w:szCs w:val="24"/>
              </w:rPr>
              <w:t xml:space="preserve">报价)×</w:t>
            </w:r>
            <w:r>
              <w:rPr>
                <w:rFonts w:hint="eastAsia" w:ascii="宋体" w:hAnsi="宋体" w:eastAsia="宋体" w:cs="宋体"/>
                <w:color w:val="auto"/>
                <w:sz w:val="24"/>
                <w:szCs w:val="24"/>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pacing w:val="-3"/>
                <w:sz w:val="24"/>
                <w:szCs w:val="24"/>
                <w:lang w:val="en-US" w:eastAsia="zh-CN"/>
              </w:rPr>
              <w:t xml:space="preserve">2.技术</w:t>
            </w:r>
            <w:r/>
          </w:p>
        </w:tc>
      </w:tr>
      <w:tr>
        <w:trPr>
          <w:jc w:val="center"/>
          <w:trHeight w:val="47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2.1</w:t>
            </w:r>
            <w:r/>
          </w:p>
        </w:tc>
        <w:tc>
          <w:tcPr>
            <w:tcW w:w="1179"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auto"/>
                <w:spacing w:val="-2"/>
                <w:sz w:val="24"/>
                <w:szCs w:val="24"/>
                <w:lang w:eastAsia="zh-CN"/>
              </w:rPr>
            </w:pPr>
            <w:r>
              <w:rPr>
                <w:rFonts w:hint="eastAsia" w:ascii="宋体" w:hAnsi="宋体" w:eastAsia="宋体" w:cs="宋体"/>
                <w:color w:val="auto"/>
                <w:sz w:val="24"/>
                <w:szCs w:val="24"/>
                <w:lang w:val="en-US" w:eastAsia="zh-CN"/>
              </w:rPr>
              <w:t xml:space="preserve">产品技术参数</w:t>
            </w:r>
            <w:r/>
          </w:p>
        </w:tc>
        <w:tc>
          <w:tcPr>
            <w:tcW w:w="633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产品技术参数全部满足招标要求的得满分，打★指标为必须满足项，如有负偏离将作为无效投标，打▲指标为重要指标，有1项负偏离扣2分，其余指标有1项负偏离扣1分，扣完为止。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8</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 xml:space="preserve">客</w:t>
            </w:r>
            <w:r>
              <w:rPr>
                <w:rFonts w:hint="eastAsia" w:ascii="宋体" w:hAnsi="宋体" w:eastAsia="宋体" w:cs="宋体"/>
                <w:color w:val="auto"/>
                <w:spacing w:val="-4"/>
                <w:sz w:val="24"/>
                <w:szCs w:val="24"/>
              </w:rPr>
              <w:t xml:space="preserve">观</w:t>
            </w:r>
            <w:r>
              <w:rPr>
                <w:rFonts w:hint="eastAsia" w:ascii="宋体" w:hAnsi="宋体" w:eastAsia="宋体" w:cs="宋体"/>
                <w:color w:val="auto"/>
                <w:spacing w:val="-4"/>
                <w:sz w:val="24"/>
                <w:szCs w:val="24"/>
                <w:lang w:eastAsia="zh-CN"/>
              </w:rPr>
              <w:t xml:space="preserve">分</w:t>
            </w:r>
            <w:r/>
          </w:p>
        </w:tc>
      </w:tr>
      <w:tr>
        <w:trPr>
          <w:jc w:val="center"/>
          <w:trHeight w:val="315"/>
        </w:trPr>
        <w:tc>
          <w:tcPr>
            <w:tcW w:w="519"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2"/>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rPr>
              <w:t xml:space="preserve">2.2</w:t>
            </w:r>
            <w:r/>
          </w:p>
        </w:tc>
        <w:tc>
          <w:tcPr>
            <w:tcW w:w="1179"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需求理解</w:t>
            </w:r>
            <w:r/>
          </w:p>
        </w:tc>
        <w:tc>
          <w:tcPr>
            <w:tcW w:w="6330"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评委根据投标人提供的需求理解材料综合评分，包括：1.业务需求及建设目标分析；2.建设依据、必要性分析；3.重点难点分析。以上每项内容逐条阐述。</w:t>
            </w:r>
            <w:r/>
          </w:p>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（1）以上每项内容完整深刻、针对性强、紧贴采购需求的，得1分； </w:t>
            </w:r>
            <w:r/>
          </w:p>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（2）以上每项内容基本完整、具有一定针对性、基本符合采购需求的的，得 0.5分； </w:t>
            </w:r>
            <w:r/>
          </w:p>
          <w:p>
            <w:pPr>
              <w:jc w:val="both"/>
              <w:keepLines w:val="0"/>
              <w:keepNext w:val="0"/>
              <w:pageBreakBefore w:val="0"/>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（3）以上每项内容不符合采购需求或未提供需求理解材料的不得分。</w:t>
            </w:r>
            <w:r/>
          </w:p>
        </w:tc>
        <w:tc>
          <w:tcPr>
            <w:tcW w:w="647"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w:t>
            </w:r>
            <w:r/>
          </w:p>
        </w:tc>
        <w:tc>
          <w:tcPr>
            <w:tcW w:w="900"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6"/>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rPr>
              <w:t xml:space="preserve">主观分</w:t>
            </w:r>
            <w:r/>
          </w:p>
        </w:tc>
      </w:tr>
      <w:tr>
        <w:trPr>
          <w:jc w:val="center"/>
          <w:trHeight w:val="315"/>
        </w:trPr>
        <w:tc>
          <w:tcPr>
            <w:tcW w:w="519"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2"/>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rPr>
              <w:t xml:space="preserve">2.3</w:t>
            </w:r>
            <w:r/>
          </w:p>
        </w:tc>
        <w:tc>
          <w:tcPr>
            <w:tcW w:w="1179"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总体技术方案</w:t>
            </w:r>
            <w:r/>
          </w:p>
        </w:tc>
        <w:tc>
          <w:tcPr>
            <w:tcW w:w="6330" w:type="dxa"/>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评委根据投标人提供的项目总体技术方案综合评分，包括：1.总体架构和性能设计；2.技术路线和业务逻辑流程设计；3.用户界面和应用功能设计；4.系统部署和安全防护设计。以上每项内容逐条阐述。</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（1）以上每项内容设计思路科学、前瞻性、技术先进可行、紧贴采购需求的，得2分；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（2）以上每项内容设计思路较科学、前瞻性、技术较先进可行、能够满足采购需求的，得1分；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（3）以上每项内容设计思路基本满足采购需求、具有一定可行性的，得0.5分； </w:t>
            </w:r>
            <w:r/>
          </w:p>
          <w:p>
            <w:pPr>
              <w:keepLines w:val="0"/>
              <w:keepNext w:val="0"/>
              <w:pageBreakBefore w:val="0"/>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（4）以上每项内容设计思路不能满足采购需求或未提供方案的不得分。</w:t>
            </w:r>
            <w:r/>
          </w:p>
        </w:tc>
        <w:tc>
          <w:tcPr>
            <w:tcW w:w="647"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p>
        </w:tc>
        <w:tc>
          <w:tcPr>
            <w:tcW w:w="900"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4"/>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rPr>
              <w:t xml:space="preserve">主观分</w:t>
            </w:r>
            <w:r/>
          </w:p>
        </w:tc>
      </w:tr>
      <w:tr>
        <w:trPr>
          <w:jc w:val="center"/>
          <w:trHeight w:val="315"/>
        </w:trPr>
        <w:tc>
          <w:tcPr>
            <w:tcW w:w="519"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pacing w:val="-2"/>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2.4</w:t>
            </w:r>
            <w:r/>
          </w:p>
        </w:tc>
        <w:tc>
          <w:tcPr>
            <w:tcW w:w="1179"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项目实施方案</w:t>
            </w:r>
            <w:r/>
          </w:p>
        </w:tc>
        <w:tc>
          <w:tcPr>
            <w:tcW w:w="6330" w:type="dxa"/>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评委根据投标人提供的项目实施方案综合评分，包括：1.实施流程；2.实施进度安排；3.保障措施；4.验收措施。以上每项内容逐条阐述。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（1）以上每项内容完整深刻、可行性强、紧贴采购需求的，得2分；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（2）以上每项内容较为完整深刻、可行性较强、能够满足采购需求的，得1分；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（3）以上每项内容基本完整、具有一定可行性、基本符合采购需求的，得0.5分； </w:t>
            </w:r>
            <w:r/>
          </w:p>
          <w:p>
            <w:pPr>
              <w:keepLines w:val="0"/>
              <w:keepNext w:val="0"/>
              <w:pageBreakBefore w:val="0"/>
              <w:spacing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（4）以上每项内容不合理可行或未提供方案的不得分。</w:t>
            </w:r>
            <w:r/>
          </w:p>
        </w:tc>
        <w:tc>
          <w:tcPr>
            <w:tcW w:w="647"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p>
        </w:tc>
        <w:tc>
          <w:tcPr>
            <w:tcW w:w="900"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4"/>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rPr>
              <w:t xml:space="preserve">主观分</w:t>
            </w:r>
            <w:r/>
          </w:p>
        </w:tc>
      </w:tr>
      <w:tr>
        <w:trPr>
          <w:jc w:val="center"/>
          <w:trHeight w:val="315"/>
        </w:trPr>
        <w:tc>
          <w:tcPr>
            <w:tcW w:w="519"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2"/>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rPr>
              <w:t xml:space="preserve">2.5</w:t>
            </w:r>
            <w:r/>
          </w:p>
        </w:tc>
        <w:tc>
          <w:tcPr>
            <w:tcW w:w="1179"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系统对接方案</w:t>
            </w:r>
            <w:r/>
          </w:p>
        </w:tc>
        <w:tc>
          <w:tcPr>
            <w:tcW w:w="6330" w:type="dxa"/>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评委根据投标人提供的系统对接方案综合评分，包括1.对接实施计划；2.对接重点难点；3.对接保障措施。以上每项内容逐条阐述。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（1）以上每项内容紧贴采购需求、详尽合理、针对性强、技术先进可行的，得2分；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（2）以上每项内容满足采购需求、较为详尽合理、针对性较强、技术较先进可行的，得1分； </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（3）以上每项内容基本符合采购需求、基本详尽合理、具有一定的针对性、基本可行的，得0.5分； </w:t>
            </w:r>
            <w:r/>
          </w:p>
          <w:p>
            <w:pPr>
              <w:keepLines w:val="0"/>
              <w:keepNext w:val="0"/>
              <w:pageBreakBefore w:val="0"/>
              <w:spacing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（4）以上每项内容不合理可行或未提供方案的不得分。</w:t>
            </w:r>
            <w:r/>
          </w:p>
        </w:tc>
        <w:tc>
          <w:tcPr>
            <w:tcW w:w="647"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w:t>
            </w:r>
            <w:r/>
          </w:p>
        </w:tc>
        <w:tc>
          <w:tcPr>
            <w:tcW w:w="900" w:type="dxa"/>
            <w:vAlign w:val="center"/>
            <w:textDirection w:val="lrTb"/>
            <w:noWrap w:val="false"/>
          </w:tcPr>
          <w:p>
            <w:pPr>
              <w:jc w:val="center"/>
              <w:keepLines w:val="0"/>
              <w:keepNext w:val="0"/>
              <w:pageBreakBefore w:val="0"/>
              <w:spacing w:after="0" w:line="240" w:lineRule="auto"/>
              <w:rPr>
                <w:rFonts w:hint="eastAsia" w:ascii="宋体" w:hAnsi="宋体" w:eastAsia="宋体" w:cs="宋体"/>
                <w:color w:val="auto"/>
                <w:spacing w:val="-4"/>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主观分</w:t>
            </w:r>
            <w:r/>
          </w:p>
        </w:tc>
      </w:tr>
      <w:tr>
        <w:trPr>
          <w:jc w:val="center"/>
          <w:trHeight w:val="315"/>
        </w:trPr>
        <w:tc>
          <w:tcPr>
            <w:tcW w:w="519"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2"/>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rPr>
              <w:t xml:space="preserve">2.6</w:t>
            </w:r>
            <w:r/>
          </w:p>
        </w:tc>
        <w:tc>
          <w:tcPr>
            <w:tcW w:w="1179"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视频演示</w:t>
            </w:r>
            <w:r/>
          </w:p>
        </w:tc>
        <w:tc>
          <w:tcPr>
            <w:tcW w:w="6330" w:type="dxa"/>
            <w:vAlign w:val="center"/>
            <w:textDirection w:val="lrTb"/>
            <w:noWrap w:val="false"/>
          </w:tcPr>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评委根据供应商提供的演示视频（总演示时间不超过1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eastAsia="zh-CN"/>
              </w:rPr>
              <w:t xml:space="preserve">分钟）综合评分。演示视频包括以下内容： </w:t>
            </w:r>
            <w:r/>
          </w:p>
          <w:p>
            <w:pP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1.支持受试者采血管、受试者采血点等唯一码的管理。</w:t>
            </w:r>
            <w:r/>
          </w:p>
          <w:p>
            <w:pP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2.项目研究参数管理包括访视阶段、随访、非计划随访等。</w:t>
            </w:r>
            <w:r/>
          </w:p>
          <w:p>
            <w:pP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3.支持电子病例报告册导出。</w:t>
            </w:r>
            <w:r/>
          </w:p>
          <w:p>
            <w:pP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4.提供数据修改痕迹跟踪，包括变化前后的值，变化的原因及谁在什么时间修改的。</w:t>
            </w:r>
            <w:r/>
          </w:p>
          <w:p>
            <w:pP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5.当样本处理完成，可查看样本相关的稽查轨迹。</w:t>
            </w:r>
            <w:r/>
          </w:p>
          <w:p>
            <w:pP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6.支持按项目查看病房病床信息及入住受试者信息。</w:t>
            </w:r>
            <w:r/>
          </w:p>
          <w:p>
            <w:pP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7.支持基于研究方案定义受试者筛选参数包括性别、年龄、地区、肿瘤部位、肿瘤分期，病理类型，基因突变，治疗史，传染病史等。</w:t>
            </w:r>
            <w:r/>
          </w:p>
          <w:p>
            <w:pPr>
              <w:jc w:val="left"/>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8.提供受试者临床病例数据在线录入功能，包括数据暂存等功能。</w:t>
            </w:r>
            <w:r/>
          </w:p>
          <w:p>
            <w:pPr>
              <w:pStyle w:val="708"/>
              <w:ind w:left="0" w:firstLine="0"/>
              <w:rPr>
                <w:rFonts w:hint="eastAsia"/>
                <w:color w:val="auto"/>
                <w:sz w:val="24"/>
                <w:szCs w:val="24"/>
                <w:lang w:val="en-US" w:eastAsia="zh-CN"/>
              </w:rPr>
            </w:pPr>
            <w:r>
              <w:rPr>
                <w:rFonts w:hint="eastAsia" w:ascii="宋体" w:hAnsi="宋体" w:eastAsia="宋体" w:cs="宋体"/>
                <w:bCs/>
                <w:color w:val="auto"/>
                <w:sz w:val="24"/>
                <w:szCs w:val="24"/>
                <w:lang w:val="en-US" w:eastAsia="zh-CN"/>
              </w:rPr>
              <w:t xml:space="preserve">9.提供质疑汇总列表，方便研究者及相关成员及时进行查阅、整改、反馈情况。</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采用类似真实系统演示，每小项功能完整准确演示得2分，最多得18分；</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采用系统原型（DEMO）演示，每小项功能完整准确演示得1分，最多得9分；</w:t>
            </w:r>
            <w:r/>
          </w:p>
          <w:p>
            <w:pPr>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采用PPT等方式演示，每小项功能完整准确演示得0.5分，最多得4.5分。 </w:t>
            </w:r>
            <w:r/>
          </w:p>
          <w:p>
            <w:pPr>
              <w:keepLines w:val="0"/>
              <w:keepNext w:val="0"/>
              <w:pageBreakBefore w:val="0"/>
              <w:spacing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（未提供视频文件或因供应商自身原因视频文件无法打开或视频画面不清晰无法辨认的不得分。）</w:t>
            </w:r>
            <w:r/>
          </w:p>
        </w:tc>
        <w:tc>
          <w:tcPr>
            <w:tcW w:w="647"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w:t>
            </w:r>
            <w:r/>
          </w:p>
        </w:tc>
        <w:tc>
          <w:tcPr>
            <w:tcW w:w="900"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4"/>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z w:val="24"/>
                <w:szCs w:val="24"/>
                <w:lang w:eastAsia="zh-CN"/>
              </w:rPr>
            </w:pPr>
            <w:r>
              <w:rPr>
                <w:rFonts w:hint="eastAsia" w:ascii="宋体" w:hAnsi="宋体" w:eastAsia="宋体" w:cs="宋体"/>
                <w:b/>
                <w:bCs/>
                <w:color w:val="auto"/>
                <w:spacing w:val="-3"/>
                <w:sz w:val="24"/>
                <w:szCs w:val="24"/>
                <w:lang w:val="en-US" w:eastAsia="zh-CN"/>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3.1</w:t>
            </w:r>
            <w:r/>
          </w:p>
        </w:tc>
        <w:tc>
          <w:tcPr>
            <w:tcW w:w="1179" w:type="dxa"/>
            <w:vAlign w:val="center"/>
            <w:textDirection w:val="lrTb"/>
            <w:noWrap w:val="false"/>
          </w:tcPr>
          <w:p>
            <w:pPr>
              <w:jc w:val="both"/>
              <w:keepLines w:val="0"/>
              <w:keepNext w:val="0"/>
              <w:pageBreakBefore w:val="0"/>
              <w:spacing w:before="0" w:line="240" w:lineRule="auto"/>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rPr>
              <w:t xml:space="preserve">运维服务方案</w:t>
            </w:r>
            <w:r/>
          </w:p>
        </w:tc>
        <w:tc>
          <w:tcPr>
            <w:tcW w:w="633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评委根据供应商提供的运维服务方案综合评分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rPr>
              <w:t xml:space="preserve">包括：1.服务措施；2.应急举措；3.服务流程及服务保障体系。</w:t>
            </w:r>
            <w:r>
              <w:rPr>
                <w:rFonts w:hint="eastAsia" w:ascii="宋体" w:hAnsi="宋体" w:eastAsia="宋体" w:cs="宋体"/>
                <w:color w:val="auto"/>
                <w:sz w:val="24"/>
                <w:szCs w:val="24"/>
                <w:highlight w:val="none"/>
                <w:lang w:val="en-US" w:eastAsia="zh-CN" w:bidi="ar-SA"/>
              </w:rPr>
              <w:t xml:space="preserve">以上每项内容逐条阐述。</w:t>
            </w:r>
            <w:r>
              <w:rPr>
                <w:rFonts w:hint="eastAsia" w:ascii="宋体" w:hAnsi="宋体" w:eastAsia="宋体" w:cs="宋体"/>
                <w:color w:val="auto"/>
                <w:sz w:val="24"/>
                <w:szCs w:val="24"/>
                <w:lang w:val="en-US" w:eastAsia="zh-CN"/>
              </w:rPr>
              <w:t xml:space="preserve"> </w:t>
            </w:r>
            <w:r/>
          </w:p>
          <w:p>
            <w:pPr>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（1）以上每项内容完整、合理性、操作性强的，得1分； </w:t>
            </w:r>
            <w:r/>
          </w:p>
          <w:p>
            <w:pPr>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（2）以上每项内容基本完整、基本合理，有可操作的，得0.5分； </w:t>
            </w:r>
            <w:r/>
          </w:p>
          <w:p>
            <w:pPr>
              <w:jc w:val="left"/>
              <w:keepLines w:val="0"/>
              <w:keepNext w:val="0"/>
              <w:pageBreakBefore w:val="0"/>
              <w:spacing w:line="24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rPr>
              <w:t xml:space="preserve">（3）以上每项内容没有针对性或未提供方案的不得分。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4"/>
                <w:szCs w:val="24"/>
                <w:lang w:val="en-US" w:eastAsia="zh-CN" w:bidi="ar-SA"/>
              </w:rPr>
            </w:pPr>
            <w:r>
              <w:rPr>
                <w:rFonts w:hint="eastAsia" w:ascii="宋体" w:hAnsi="宋体" w:eastAsia="宋体" w:cs="宋体"/>
                <w:color w:val="auto"/>
                <w:spacing w:val="-6"/>
                <w:sz w:val="24"/>
                <w:szCs w:val="24"/>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3.2</w:t>
            </w:r>
            <w:r/>
          </w:p>
        </w:tc>
        <w:tc>
          <w:tcPr>
            <w:tcW w:w="1179" w:type="dxa"/>
            <w:vAlign w:val="center"/>
            <w:textDirection w:val="lrTb"/>
            <w:noWrap w:val="false"/>
          </w:tcPr>
          <w:p>
            <w:pPr>
              <w:jc w:val="both"/>
              <w:keepLines w:val="0"/>
              <w:keepNext w:val="0"/>
              <w:pageBreakBefore w:val="0"/>
              <w:spacing w:before="0" w:line="240" w:lineRule="auto"/>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rPr>
              <w:t xml:space="preserve">培训方案</w:t>
            </w:r>
            <w:r/>
          </w:p>
        </w:tc>
        <w:tc>
          <w:tcPr>
            <w:tcW w:w="633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评委根据供应商提供的项目培训方案综合评分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lang w:val="en-US" w:eastAsia="zh-CN" w:bidi="ar-SA"/>
              </w:rPr>
              <w:t xml:space="preserve">包括1.培训计划；2.培训内容；3.师资力量</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bidi="ar-SA"/>
              </w:rPr>
              <w:t xml:space="preserve">以上每项内容逐条阐述。</w:t>
            </w:r>
            <w:r>
              <w:rPr>
                <w:rFonts w:hint="eastAsia" w:ascii="宋体" w:hAnsi="宋体" w:eastAsia="宋体" w:cs="宋体"/>
                <w:color w:val="auto"/>
                <w:sz w:val="24"/>
                <w:szCs w:val="24"/>
                <w:lang w:val="en-US" w:eastAsia="zh-CN"/>
              </w:rPr>
              <w:t xml:space="preserve"> </w:t>
            </w:r>
            <w:r/>
          </w:p>
          <w:p>
            <w:pPr>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（1）以上每项内容完整详细、针对性强的，得1分； </w:t>
            </w:r>
            <w:r/>
          </w:p>
          <w:p>
            <w:pPr>
              <w:jc w:val="left"/>
              <w:keepLines w:val="0"/>
              <w:keepNext w:val="0"/>
              <w:pageBreakBefore w:val="0"/>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（2）以上每项内容基本满足采购需求，有一定针对性的，得0.5分； </w:t>
            </w:r>
            <w:r/>
          </w:p>
          <w:p>
            <w:pPr>
              <w:jc w:val="left"/>
              <w:keepLines w:val="0"/>
              <w:keepNext w:val="0"/>
              <w:pageBreakBefore w:val="0"/>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（3）以上每项内容没有针对性或未提供方案的不得分。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4"/>
                <w:szCs w:val="24"/>
                <w:lang w:val="en-US" w:eastAsia="zh-CN" w:bidi="ar-SA"/>
              </w:rPr>
            </w:pPr>
            <w:r>
              <w:rPr>
                <w:rFonts w:hint="eastAsia" w:ascii="宋体" w:hAnsi="宋体" w:eastAsia="宋体" w:cs="宋体"/>
                <w:color w:val="auto"/>
                <w:spacing w:val="-6"/>
                <w:sz w:val="24"/>
                <w:szCs w:val="24"/>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pacing w:val="-3"/>
                <w:sz w:val="24"/>
                <w:szCs w:val="24"/>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4</w:t>
            </w:r>
            <w:r>
              <w:rPr>
                <w:rFonts w:hint="eastAsia" w:ascii="宋体" w:hAnsi="宋体" w:eastAsia="宋体" w:cs="宋体"/>
                <w:color w:val="auto"/>
                <w:spacing w:val="-2"/>
                <w:sz w:val="24"/>
                <w:szCs w:val="24"/>
              </w:rPr>
              <w:t xml:space="preserve">.1</w:t>
            </w:r>
            <w:r/>
          </w:p>
        </w:tc>
        <w:tc>
          <w:tcPr>
            <w:tcW w:w="1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供应商业绩</w:t>
            </w:r>
            <w:r/>
          </w:p>
        </w:tc>
        <w:tc>
          <w:tcPr>
            <w:tcW w:w="633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供应商提供2023年1月1日（含）以来类似软件开发服务业绩</w:t>
            </w:r>
            <w:r>
              <w:rPr>
                <w:rFonts w:hint="eastAsia" w:ascii="宋体" w:hAnsi="宋体" w:eastAsia="宋体" w:cs="宋体"/>
                <w:color w:val="auto"/>
                <w:sz w:val="24"/>
                <w:szCs w:val="24"/>
                <w:lang w:eastAsia="zh-CN"/>
              </w:rPr>
              <w:t xml:space="preserve">（包含关键词</w:t>
            </w:r>
            <w:r>
              <w:rPr>
                <w:rFonts w:hint="eastAsia" w:ascii="宋体" w:hAnsi="宋体" w:eastAsia="宋体" w:cs="宋体"/>
                <w:color w:val="auto"/>
                <w:sz w:val="24"/>
                <w:szCs w:val="24"/>
                <w:lang w:val="en-US" w:eastAsia="zh-CN"/>
              </w:rPr>
              <w:t xml:space="preserve">为</w:t>
            </w:r>
            <w:r>
              <w:rPr>
                <w:rFonts w:hint="eastAsia" w:ascii="宋体" w:hAnsi="宋体" w:eastAsia="宋体" w:cs="宋体"/>
                <w:color w:val="auto"/>
                <w:sz w:val="24"/>
                <w:szCs w:val="24"/>
                <w:lang w:eastAsia="zh-CN"/>
              </w:rPr>
              <w:t xml:space="preserve">“试验管理平台、数据采集系统、样本采集系统”</w:t>
            </w:r>
            <w:r>
              <w:rPr>
                <w:rFonts w:hint="eastAsia" w:ascii="宋体" w:hAnsi="宋体" w:eastAsia="宋体" w:cs="宋体"/>
                <w:color w:val="auto"/>
                <w:sz w:val="24"/>
                <w:szCs w:val="24"/>
                <w:lang w:val="en-US" w:eastAsia="zh-CN"/>
              </w:rPr>
              <w:t xml:space="preserve">至少一项内容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，每提供1个得2分，最多得6分，未提供不得分。（时间以合同签订时间为准，提供有效合同，合同页须清晰可见相应内容）</w:t>
            </w:r>
            <w:r/>
          </w:p>
        </w:tc>
        <w:tc>
          <w:tcPr>
            <w:tcW w:w="6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rPr>
              <w:t xml:space="preserve">客</w:t>
            </w:r>
            <w:r>
              <w:rPr>
                <w:rFonts w:hint="eastAsia" w:ascii="宋体" w:hAnsi="宋体" w:eastAsia="宋体" w:cs="宋体"/>
                <w:color w:val="auto"/>
                <w:spacing w:val="-4"/>
                <w:sz w:val="24"/>
                <w:szCs w:val="24"/>
              </w:rPr>
              <w:t xml:space="preserve">观</w:t>
            </w:r>
            <w:r>
              <w:rPr>
                <w:rFonts w:hint="eastAsia" w:ascii="宋体" w:hAnsi="宋体" w:eastAsia="宋体" w:cs="宋体"/>
                <w:color w:val="auto"/>
                <w:spacing w:val="-4"/>
                <w:sz w:val="24"/>
                <w:szCs w:val="24"/>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40" w:lineRule="auto"/>
              <w:widowControl w:val="off"/>
              <w:rPr>
                <w:rFonts w:hint="eastAsia" w:ascii="宋体" w:hAnsi="宋体" w:eastAsia="宋体" w:cs="宋体"/>
                <w:color w:val="auto"/>
                <w:sz w:val="24"/>
                <w:szCs w:val="24"/>
              </w:rPr>
            </w:pPr>
            <w:r>
              <w:rPr>
                <w:rFonts w:hint="eastAsia" w:ascii="宋体" w:hAnsi="宋体" w:eastAsia="宋体" w:cs="宋体"/>
                <w:b/>
                <w:bCs/>
                <w:color w:val="auto"/>
                <w:spacing w:val="-3"/>
                <w:sz w:val="24"/>
                <w:szCs w:val="24"/>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5</w:t>
            </w:r>
            <w:r>
              <w:rPr>
                <w:rFonts w:hint="eastAsia" w:ascii="宋体" w:hAnsi="宋体" w:eastAsia="宋体" w:cs="宋体"/>
                <w:color w:val="auto"/>
                <w:spacing w:val="-2"/>
                <w:sz w:val="24"/>
                <w:szCs w:val="24"/>
              </w:rPr>
              <w:t xml:space="preserve">.1</w:t>
            </w:r>
            <w:r/>
          </w:p>
        </w:tc>
        <w:tc>
          <w:tcPr>
            <w:tcW w:w="1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履约能力1</w:t>
            </w:r>
            <w:r/>
          </w:p>
        </w:tc>
        <w:tc>
          <w:tcPr>
            <w:tcW w:w="6330"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（1）项目经理能力：</w:t>
            </w:r>
            <w:r/>
          </w:p>
          <w:p>
            <w:pPr>
              <w:jc w:val="both"/>
              <w:keepLines w:val="0"/>
              <w:keepNext w:val="0"/>
              <w:pageBreakBefore w:val="0"/>
              <w:spacing w:after="0" w:line="240" w:lineRule="auto"/>
              <w:rPr>
                <w:rFonts w:hint="eastAsia" w:ascii="宋体" w:hAnsi="宋体" w:eastAsia="宋体" w:cs="宋体"/>
                <w:color w:val="auto"/>
                <w:sz w:val="24"/>
                <w:szCs w:val="24"/>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①具有国家药品监督管理局（NMPA）认可的培训机构颁发的GCP证书，得1分。</w:t>
            </w:r>
            <w:r/>
          </w:p>
          <w:p>
            <w:pPr>
              <w:jc w:val="both"/>
              <w:keepLines w:val="0"/>
              <w:keepNext w:val="0"/>
              <w:pageBreakBefore w:val="0"/>
              <w:spacing w:after="0" w:line="240" w:lineRule="auto"/>
              <w:rPr>
                <w:rFonts w:hint="eastAsia" w:ascii="宋体" w:hAnsi="宋体" w:eastAsia="宋体" w:cs="宋体"/>
                <w:color w:val="auto"/>
                <w:sz w:val="24"/>
                <w:szCs w:val="24"/>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②具有</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年以上GCP</w:t>
            </w:r>
            <w:r>
              <w:rPr>
                <w:rFonts w:hint="eastAsia" w:ascii="宋体" w:hAnsi="宋体" w:eastAsia="宋体" w:cs="宋体"/>
                <w:color w:val="auto"/>
                <w:sz w:val="24"/>
                <w:szCs w:val="24"/>
                <w:lang w:val="en-US" w:eastAsia="zh-CN"/>
              </w:rPr>
              <w:t xml:space="preserve">管理软件</w:t>
            </w:r>
            <w:r>
              <w:rPr>
                <w:rFonts w:hint="eastAsia" w:ascii="宋体" w:hAnsi="宋体" w:eastAsia="宋体" w:cs="宋体"/>
                <w:color w:val="auto"/>
                <w:sz w:val="24"/>
                <w:szCs w:val="24"/>
                <w:lang w:eastAsia="zh-CN"/>
              </w:rPr>
              <w:t xml:space="preserve">管理经验，得2分。</w:t>
            </w:r>
            <w:r/>
          </w:p>
          <w:p>
            <w:pPr>
              <w:jc w:val="both"/>
              <w:keepLines w:val="0"/>
              <w:keepNext w:val="0"/>
              <w:pageBreakBefore w:val="0"/>
              <w:spacing w:after="0" w:line="240" w:lineRule="auto"/>
              <w:rPr>
                <w:rFonts w:hint="eastAsia" w:ascii="宋体" w:hAnsi="宋体" w:eastAsia="宋体" w:cs="宋体"/>
                <w:color w:val="auto"/>
                <w:sz w:val="24"/>
                <w:szCs w:val="24"/>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（2）技术负责人能力：</w:t>
            </w:r>
            <w:r/>
          </w:p>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①具有国家药品监督管理局（NMPA）认可的培训机构颁发的GCP证书，得1分。</w:t>
            </w:r>
            <w:r/>
          </w:p>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②具有3年以上GCP管理软件研发经验，得2分。</w:t>
            </w:r>
            <w:r/>
          </w:p>
          <w:p>
            <w:pPr>
              <w:jc w:val="both"/>
              <w:keepLines w:val="0"/>
              <w:keepNext w:val="0"/>
              <w:pageBreakBefore w:val="0"/>
              <w:spacing w:after="0" w:line="24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（提供人员证书、项目管理</w:t>
            </w:r>
            <w:r>
              <w:rPr>
                <w:rFonts w:hint="eastAsia" w:ascii="宋体" w:hAnsi="宋体" w:cs="宋体"/>
                <w:color w:val="auto"/>
                <w:sz w:val="24"/>
                <w:szCs w:val="24"/>
                <w:lang w:val="en-US" w:eastAsia="zh-CN"/>
              </w:rPr>
              <w:t xml:space="preserve">或研发</w:t>
            </w:r>
            <w:r>
              <w:rPr>
                <w:rFonts w:hint="eastAsia" w:ascii="宋体" w:hAnsi="宋体" w:eastAsia="宋体" w:cs="宋体"/>
                <w:color w:val="auto"/>
                <w:sz w:val="24"/>
                <w:szCs w:val="24"/>
                <w:lang w:eastAsia="zh-CN"/>
              </w:rPr>
              <w:t xml:space="preserve">经验证明材料，</w:t>
            </w:r>
            <w:bookmarkStart w:id="24" w:name="OLE_LINK2"/>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为其缴纳的2025年1月以来任意一个月的社保证明材料，缺一不可</w:t>
            </w:r>
            <w:bookmarkEnd w:id="24"/>
            <w:r>
              <w:rPr>
                <w:rFonts w:hint="eastAsia" w:ascii="宋体" w:hAnsi="宋体" w:eastAsia="宋体" w:cs="宋体"/>
                <w:color w:val="auto"/>
                <w:sz w:val="24"/>
                <w:szCs w:val="24"/>
                <w:lang w:eastAsia="zh-CN"/>
              </w:rPr>
              <w:t xml:space="preserve">）</w:t>
            </w:r>
            <w:r/>
          </w:p>
        </w:tc>
        <w:tc>
          <w:tcPr>
            <w:tcW w:w="647"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w:t>
            </w:r>
            <w:r/>
          </w:p>
        </w:tc>
        <w:tc>
          <w:tcPr>
            <w:tcW w:w="900"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rPr>
              <w:t xml:space="preserve">客</w:t>
            </w:r>
            <w:r>
              <w:rPr>
                <w:rFonts w:hint="eastAsia" w:ascii="宋体" w:hAnsi="宋体" w:eastAsia="宋体" w:cs="宋体"/>
                <w:color w:val="auto"/>
                <w:spacing w:val="-4"/>
                <w:sz w:val="24"/>
                <w:szCs w:val="24"/>
              </w:rPr>
              <w:t xml:space="preserve">观分</w:t>
            </w:r>
            <w:r/>
          </w:p>
        </w:tc>
      </w:tr>
      <w:tr>
        <w:trPr>
          <w:jc w:val="center"/>
          <w:trHeight w:val="38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5</w:t>
            </w:r>
            <w:r>
              <w:rPr>
                <w:rFonts w:hint="eastAsia" w:ascii="宋体" w:hAnsi="宋体" w:eastAsia="宋体" w:cs="宋体"/>
                <w:color w:val="auto"/>
                <w:spacing w:val="-2"/>
                <w:sz w:val="24"/>
                <w:szCs w:val="24"/>
              </w:rPr>
              <w:t xml:space="preserve">.2</w:t>
            </w:r>
            <w:r/>
          </w:p>
        </w:tc>
        <w:tc>
          <w:tcPr>
            <w:tcW w:w="1179" w:type="dxa"/>
            <w:vAlign w:val="center"/>
            <w:textDirection w:val="lrTb"/>
            <w:noWrap w:val="false"/>
          </w:tcPr>
          <w:p>
            <w:pPr>
              <w:jc w:val="both"/>
              <w:keepLines w:val="0"/>
              <w:keepNext w:val="0"/>
              <w:pageBreakBefore w:val="0"/>
              <w:spacing w:before="0" w:line="240" w:lineRule="auto"/>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eastAsia="zh-CN"/>
              </w:rPr>
              <w:t xml:space="preserve">履约能力</w:t>
            </w:r>
            <w:r>
              <w:rPr>
                <w:rFonts w:hint="eastAsia" w:ascii="宋体" w:hAnsi="宋体" w:eastAsia="宋体" w:cs="宋体"/>
                <w:color w:val="auto"/>
                <w:spacing w:val="0"/>
                <w:sz w:val="24"/>
                <w:szCs w:val="24"/>
                <w:lang w:val="en-US" w:eastAsia="zh-CN"/>
              </w:rPr>
              <w:t xml:space="preserve">2</w:t>
            </w:r>
            <w:r/>
          </w:p>
        </w:tc>
        <w:tc>
          <w:tcPr>
            <w:tcW w:w="6330"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项目实施团队能力（不含项目经理和技术负责人）：</w:t>
            </w:r>
            <w:r/>
          </w:p>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①团队成员具有3年以上GCP管理软件实施经验，每提供一人得1分，最多得3分。</w:t>
            </w:r>
            <w:r/>
          </w:p>
          <w:p>
            <w:pPr>
              <w:jc w:val="both"/>
              <w:keepLines w:val="0"/>
              <w:keepNext w:val="0"/>
              <w:pageBreakBefore w:val="0"/>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提供人员</w:t>
            </w:r>
            <w:r>
              <w:rPr>
                <w:rFonts w:hint="eastAsia" w:ascii="宋体" w:hAnsi="宋体" w:eastAsia="宋体" w:cs="宋体"/>
                <w:color w:val="auto"/>
                <w:sz w:val="24"/>
                <w:szCs w:val="24"/>
                <w:lang w:eastAsia="zh-CN"/>
              </w:rPr>
              <w:t xml:space="preserve">项目实施经验证明材料，</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为其缴纳的2025年1月以来任意一个月的社保证明材料，缺一不可）</w:t>
            </w:r>
            <w:r/>
          </w:p>
        </w:tc>
        <w:tc>
          <w:tcPr>
            <w:tcW w:w="647"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w:t>
            </w:r>
            <w:r/>
          </w:p>
        </w:tc>
        <w:tc>
          <w:tcPr>
            <w:tcW w:w="900"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rPr>
              <w:t xml:space="preserve">客</w:t>
            </w:r>
            <w:r>
              <w:rPr>
                <w:rFonts w:hint="eastAsia" w:ascii="宋体" w:hAnsi="宋体" w:eastAsia="宋体" w:cs="宋体"/>
                <w:color w:val="auto"/>
                <w:spacing w:val="-4"/>
                <w:sz w:val="24"/>
                <w:szCs w:val="24"/>
              </w:rPr>
              <w:t xml:space="preserve">观分</w:t>
            </w:r>
            <w:r/>
          </w:p>
        </w:tc>
      </w:tr>
      <w:tr>
        <w:trPr>
          <w:jc w:val="center"/>
          <w:trHeight w:val="38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5.3</w:t>
            </w:r>
            <w:r/>
          </w:p>
        </w:tc>
        <w:tc>
          <w:tcPr>
            <w:tcW w:w="117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履约能力3</w:t>
            </w:r>
            <w:r/>
          </w:p>
        </w:tc>
        <w:tc>
          <w:tcPr>
            <w:tcW w:w="6330" w:type="dxa"/>
            <w:vAlign w:val="center"/>
            <w:textDirection w:val="lrTb"/>
            <w:noWrap w:val="false"/>
          </w:tcPr>
          <w:p>
            <w:pPr>
              <w:jc w:val="both"/>
              <w:keepLines w:val="0"/>
              <w:keepNext w:val="0"/>
              <w:pageBreakBefore w:val="0"/>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投标人拟投入本项目的相关产品具有软件著作权证书，软件名称包含“GCP管理平台、科研病例、智能筛选、科研病房”等关键字，每提供1个证书得2分，</w:t>
            </w:r>
            <w:r>
              <w:rPr>
                <w:rFonts w:hint="eastAsia" w:ascii="宋体" w:hAnsi="宋体" w:eastAsia="宋体" w:cs="宋体"/>
                <w:color w:val="auto"/>
                <w:sz w:val="24"/>
                <w:szCs w:val="24"/>
                <w:lang w:val="en-US" w:eastAsia="zh-CN"/>
              </w:rPr>
              <w:t xml:space="preserve">最多得8分</w:t>
            </w:r>
            <w:r>
              <w:rPr>
                <w:rFonts w:hint="eastAsia" w:ascii="宋体" w:hAnsi="宋体" w:eastAsia="宋体" w:cs="宋体"/>
                <w:color w:val="auto"/>
                <w:sz w:val="24"/>
                <w:szCs w:val="24"/>
                <w:lang w:eastAsia="zh-CN"/>
              </w:rPr>
              <w:t xml:space="preserve">。 </w:t>
            </w:r>
            <w:r/>
          </w:p>
          <w:p>
            <w:pPr>
              <w:jc w:val="both"/>
              <w:keepLines w:val="0"/>
              <w:keepNext w:val="0"/>
              <w:pageBreakBefore w:val="0"/>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（所提供证书“软件名称”与评分细则规定不同时，应提供符合上述要求的内容（功能）说明及关键信息，否则不予认可。</w:t>
            </w:r>
            <w:r>
              <w:rPr>
                <w:rFonts w:hint="eastAsia" w:ascii="宋体" w:hAnsi="宋体" w:eastAsia="宋体" w:cs="宋体"/>
                <w:color w:val="auto"/>
                <w:sz w:val="24"/>
                <w:szCs w:val="24"/>
              </w:rPr>
              <w:t xml:space="preserve">）</w:t>
            </w:r>
            <w:r/>
          </w:p>
        </w:tc>
        <w:tc>
          <w:tcPr>
            <w:tcW w:w="647"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p>
        </w:tc>
        <w:tc>
          <w:tcPr>
            <w:tcW w:w="900" w:type="dxa"/>
            <w:vAlign w:val="center"/>
            <w:textDirection w:val="lrTb"/>
            <w:noWrap w:val="false"/>
          </w:tcPr>
          <w:p>
            <w:pPr>
              <w:jc w:val="center"/>
              <w:keepLines w:val="0"/>
              <w:keepNext w:val="0"/>
              <w:pageBreakBefore w:val="0"/>
              <w:spacing w:before="68" w:after="0" w:line="240" w:lineRule="auto"/>
              <w:rPr>
                <w:rFonts w:hint="eastAsia" w:ascii="宋体" w:hAnsi="宋体" w:eastAsia="宋体" w:cs="宋体"/>
                <w:color w:val="auto"/>
                <w:spacing w:val="-6"/>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rPr>
              <w:t xml:space="preserve">客</w:t>
            </w:r>
            <w:r>
              <w:rPr>
                <w:rFonts w:hint="eastAsia" w:ascii="宋体" w:hAnsi="宋体" w:eastAsia="宋体" w:cs="宋体"/>
                <w:color w:val="auto"/>
                <w:spacing w:val="-4"/>
                <w:sz w:val="24"/>
                <w:szCs w:val="24"/>
              </w:rPr>
              <w:t xml:space="preserve">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合</w:t>
            </w:r>
            <w:r>
              <w:rPr>
                <w:rFonts w:hint="eastAsia" w:ascii="宋体" w:hAnsi="宋体" w:eastAsia="宋体" w:cs="宋体"/>
                <w:color w:val="auto"/>
                <w:spacing w:val="-2"/>
                <w:sz w:val="24"/>
                <w:szCs w:val="24"/>
              </w:rPr>
              <w:t xml:space="preserve">计</w:t>
            </w:r>
            <w:r/>
          </w:p>
        </w:tc>
        <w:tc>
          <w:tcPr>
            <w:gridSpan w:val="2"/>
            <w:tcW w:w="7509" w:type="dxa"/>
            <w:vAlign w:val="center"/>
            <w:textDirection w:val="lrTb"/>
            <w:noWrap w:val="false"/>
          </w:tcPr>
          <w:p>
            <w:pPr>
              <w:ind w:left="172"/>
              <w:jc w:val="center"/>
              <w:keepLines w:val="0"/>
              <w:keepNext w:val="0"/>
              <w:pageBreakBefore w:val="0"/>
              <w:spacing w:before="123" w:line="240"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r>
            <w:r/>
          </w:p>
        </w:tc>
        <w:tc>
          <w:tcPr>
            <w:gridSpan w:val="2"/>
            <w:tcW w:w="15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pacing w:val="-11"/>
                <w:sz w:val="24"/>
                <w:szCs w:val="24"/>
              </w:rPr>
              <w:t xml:space="preserve">100分</w:t>
            </w:r>
            <w:r/>
          </w:p>
        </w:tc>
      </w:tr>
    </w:tbl>
    <w:p>
      <w:pPr>
        <w:pStyle w:val="708"/>
        <w:keepLines w:val="0"/>
        <w:keepNext w:val="0"/>
        <w:pageBreakBefore w:val="0"/>
        <w:spacing w:line="240" w:lineRule="auto"/>
        <w:widowControl w:val="off"/>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lang w:val="en-US" w:eastAsia="zh-CN"/>
        </w:rPr>
        <w:t xml:space="preserve">响应文件格式 </w:t>
      </w:r>
      <w:r/>
    </w:p>
    <w:p>
      <w:pPr>
        <w:jc w:val="center"/>
        <w:rPr>
          <w:rFonts w:hint="eastAsia" w:ascii="宋体" w:hAnsi="宋体"/>
          <w:b/>
          <w:sz w:val="72"/>
          <w:szCs w:val="21"/>
        </w:rPr>
      </w:pPr>
      <w:r/>
      <w:bookmarkStart w:id="25" w:name="_Hlt26671244"/>
      <w:r/>
      <w:bookmarkEnd w:id="25"/>
      <w:r/>
      <w:bookmarkStart w:id="26" w:name="_Hlt26955039"/>
      <w:r/>
      <w:bookmarkEnd w:id="26"/>
      <w:r/>
      <w:bookmarkStart w:id="27" w:name="_Toc26554094"/>
      <w:r/>
      <w:bookmarkStart w:id="28" w:name="_Toc49090576"/>
      <w:r/>
      <w:bookmarkStart w:id="29"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p>
    <w:p>
      <w:pPr>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708"/>
        <w:rPr>
          <w:rFonts w:hint="eastAsia"/>
        </w:rPr>
      </w:pPr>
      <w:r>
        <w:rPr>
          <w:rFonts w:hint="eastAsia"/>
        </w:rPr>
      </w:r>
      <w:r/>
    </w:p>
    <w:p>
      <w:pPr>
        <w:rPr>
          <w:rFonts w:hint="eastAsia"/>
        </w:rPr>
      </w:pPr>
      <w:r>
        <w:rPr>
          <w:rFonts w:hint="eastAsia"/>
        </w:rPr>
      </w:r>
      <w:r/>
    </w:p>
    <w:p>
      <w:pPr>
        <w:pStyle w:val="708"/>
        <w:ind w:left="0" w:firstLine="0"/>
        <w:rPr>
          <w:rFonts w:hint="eastAsia"/>
        </w:rPr>
      </w:pPr>
      <w:r>
        <w:rPr>
          <w:rFonts w:hint="eastAsia"/>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r>
      <w:bookmarkEnd w:id="27"/>
      <w:r/>
      <w:bookmarkEnd w:id="28"/>
      <w:r/>
      <w:bookmarkEnd w:id="29"/>
      <w:r/>
      <w:r/>
    </w:p>
    <w:p>
      <w:pPr>
        <w:pStyle w:val="708"/>
        <w:rPr>
          <w:rFonts w:hint="eastAsia"/>
        </w:rPr>
      </w:pPr>
      <w:r>
        <w:rPr>
          <w:rFonts w:hint="eastAsia"/>
        </w:rPr>
      </w:r>
      <w:r/>
    </w:p>
    <w:p>
      <w:pPr>
        <w:rPr>
          <w:rFonts w:hint="eastAsia" w:ascii="黑体" w:hAnsi="黑体" w:eastAsia="黑体" w:cs="Times New Roman"/>
          <w:i w:val="0"/>
          <w:color w:val="000000"/>
          <w:sz w:val="32"/>
          <w:szCs w:val="32"/>
          <w:u w:val="none"/>
          <w:lang w:val="en-US" w:eastAsia="zh-CN"/>
        </w:rPr>
      </w:pPr>
      <w:r/>
      <w:bookmarkStart w:id="30"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65"/>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65"/>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65"/>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65"/>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65"/>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5"/>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65"/>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1" w:name="_Hlt26955070"/>
      <w:r/>
      <w:bookmarkEnd w:id="31"/>
      <w:r/>
      <w:bookmarkStart w:id="32" w:name="_格式3__银行出具的资信证明"/>
      <w:r/>
      <w:bookmarkEnd w:id="32"/>
      <w:r/>
      <w:bookmarkStart w:id="33" w:name="_Hlt26671380"/>
      <w:r/>
      <w:bookmarkEnd w:id="33"/>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67"/>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967"/>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67"/>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6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6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6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6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7"/>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707"/>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67"/>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p>
    <w:p>
      <w:pPr>
        <w:pStyle w:val="947"/>
        <w:rPr>
          <w:rFonts w:hint="eastAsia"/>
        </w:rPr>
      </w:pPr>
      <w:r>
        <w:rPr>
          <w:rFonts w:hint="eastAsia"/>
        </w:rPr>
      </w:r>
      <w:r/>
    </w:p>
    <w:p>
      <w:pPr>
        <w:pStyle w:val="708"/>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0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0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08"/>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pStyle w:val="708"/>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pStyle w:val="708"/>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pStyle w:val="708"/>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pStyle w:val="708"/>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pStyle w:val="708"/>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707"/>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55"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695"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45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320" w:type="dxa"/>
            <w:vAlign w:val="center"/>
            <w:textDirection w:val="lrTb"/>
            <w:noWrap w:val="false"/>
          </w:tcPr>
          <w:p>
            <w:pPr>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p>
        </w:tc>
        <w:tc>
          <w:tcPr>
            <w:tcW w:w="169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62"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94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6"/>
      <w:r/>
      <w:bookmarkEnd w:id="17"/>
      <w:r/>
      <w:bookmarkEnd w:id="30"/>
      <w:r>
        <w:rPr>
          <w:rFonts w:hint="eastAsia" w:ascii="黑体" w:hAnsi="黑体" w:eastAsia="黑体" w:cs="Times New Roman"/>
          <w:i w:val="0"/>
          <w:iCs/>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4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iCs/>
          <w:color w:val="000000"/>
          <w:sz w:val="32"/>
          <w:szCs w:val="32"/>
          <w:highlight w:val="none"/>
          <w:u w:val="none"/>
          <w:lang w:val="en-US" w:eastAsia="zh-CN"/>
        </w:rPr>
      </w:pPr>
      <w:r/>
      <w:bookmarkStart w:id="34" w:name="_Hlt26955054"/>
      <w:r/>
      <w:bookmarkEnd w:id="34"/>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35" w:name="_Hlt26609391"/>
            <w:r/>
            <w:bookmarkEnd w:id="35"/>
            <w:r/>
            <w:bookmarkStart w:id="36" w:name="_Hlt26955064"/>
            <w:r/>
            <w:bookmarkEnd w:id="36"/>
            <w:r/>
            <w:bookmarkStart w:id="37" w:name="_Hlt26580838"/>
            <w:r/>
            <w:bookmarkEnd w:id="37"/>
            <w:r/>
            <w:bookmarkStart w:id="38" w:name="_Hlt26782999"/>
            <w:r/>
            <w:bookmarkEnd w:id="38"/>
            <w:r/>
            <w:bookmarkStart w:id="39" w:name="_Hlt26671343"/>
            <w:r/>
            <w:bookmarkEnd w:id="39"/>
            <w:r/>
            <w:bookmarkStart w:id="40" w:name="_Hlt26955056"/>
            <w:r/>
            <w:bookmarkEnd w:id="40"/>
            <w:r/>
            <w:bookmarkStart w:id="41" w:name="_Hlt26671372"/>
            <w:r/>
            <w:bookmarkEnd w:id="41"/>
            <w:r/>
            <w:bookmarkStart w:id="42" w:name="_Hlt24879081"/>
            <w:r/>
            <w:bookmarkEnd w:id="42"/>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4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947"/>
      </w:pPr>
      <w:r/>
      <w:r/>
    </w:p>
    <w:p>
      <w:r/>
      <w:r/>
    </w:p>
    <w:p>
      <w:pPr>
        <w:pStyle w:val="947"/>
      </w:pPr>
      <w:r/>
      <w:r/>
    </w:p>
    <w:p>
      <w:pPr>
        <w:jc w:val="center"/>
        <w:rPr>
          <w:rFonts w:hint="eastAsia" w:ascii="宋体" w:hAnsi="宋体" w:cs="仿宋"/>
          <w:b/>
          <w:bCs/>
          <w:sz w:val="32"/>
          <w:szCs w:val="32"/>
        </w:rPr>
      </w:pPr>
      <w:r>
        <w:rPr>
          <w:rFonts w:hint="eastAsia" w:ascii="宋体" w:hAnsi="宋体" w:cs="仿宋"/>
          <w:b/>
          <w:bCs/>
          <w:sz w:val="32"/>
          <w:szCs w:val="32"/>
        </w:rPr>
      </w:r>
      <w:r/>
    </w:p>
    <w:p>
      <w:pPr>
        <w:pStyle w:val="708"/>
        <w:rPr>
          <w:rFonts w:hint="eastAsia" w:ascii="宋体" w:hAnsi="宋体" w:cs="仿宋"/>
          <w:b/>
          <w:bCs/>
          <w:sz w:val="32"/>
          <w:szCs w:val="32"/>
        </w:rPr>
      </w:pPr>
      <w:r>
        <w:rPr>
          <w:rFonts w:hint="eastAsia" w:ascii="宋体" w:hAnsi="宋体" w:cs="仿宋"/>
          <w:b/>
          <w:bCs/>
          <w:sz w:val="32"/>
          <w:szCs w:val="32"/>
        </w:rPr>
      </w:r>
      <w:r/>
    </w:p>
    <w:p>
      <w:pPr>
        <w:pStyle w:val="708"/>
        <w:rPr>
          <w:rFonts w:hint="eastAsia" w:ascii="宋体" w:hAnsi="宋体" w:cs="仿宋"/>
          <w:b/>
          <w:bCs/>
          <w:sz w:val="32"/>
          <w:szCs w:val="32"/>
        </w:rPr>
      </w:pPr>
      <w:r>
        <w:rPr>
          <w:rFonts w:hint="eastAsia" w:ascii="宋体" w:hAnsi="宋体" w:cs="仿宋"/>
          <w:b/>
          <w:bCs/>
          <w:sz w:val="32"/>
          <w:szCs w:val="32"/>
        </w:rPr>
      </w:r>
      <w:r/>
    </w:p>
    <w:p>
      <w:pPr>
        <w:pStyle w:val="708"/>
        <w:rPr>
          <w:rFonts w:hint="eastAsia" w:ascii="宋体" w:hAnsi="宋体" w:cs="仿宋"/>
          <w:b/>
          <w:bCs/>
          <w:sz w:val="32"/>
          <w:szCs w:val="32"/>
        </w:rPr>
      </w:pPr>
      <w:r>
        <w:rPr>
          <w:rFonts w:hint="eastAsia" w:ascii="宋体" w:hAnsi="宋体" w:cs="仿宋"/>
          <w:b/>
          <w:bCs/>
          <w:sz w:val="32"/>
          <w:szCs w:val="32"/>
        </w:rPr>
      </w:r>
      <w:r/>
    </w:p>
    <w:p>
      <w:pPr>
        <w:pStyle w:val="708"/>
        <w:rPr>
          <w:rFonts w:hint="eastAsia" w:ascii="宋体" w:hAnsi="宋体" w:cs="仿宋"/>
          <w:b/>
          <w:bCs/>
          <w:sz w:val="32"/>
          <w:szCs w:val="32"/>
        </w:rPr>
      </w:pPr>
      <w:r>
        <w:rPr>
          <w:rFonts w:hint="eastAsia" w:ascii="宋体" w:hAnsi="宋体" w:cs="仿宋"/>
          <w:b/>
          <w:bCs/>
          <w:sz w:val="32"/>
          <w:szCs w:val="32"/>
        </w:rPr>
      </w:r>
      <w:r/>
    </w:p>
    <w:p>
      <w:pPr>
        <w:pStyle w:val="708"/>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0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0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３９</w:t>
    </w:r>
    <w:r>
      <w:rPr>
        <w:rFonts w:ascii="宋体" w:hAnsi="宋体"/>
      </w:rPr>
      <w:fldChar w:fldCharType="end"/>
    </w:r>
    <w:r/>
  </w:p>
  <w:p>
    <w:pPr>
      <w:pStyle w:val="92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ind w:left="440" w:hanging="440"/>
      </w:pPr>
      <w:rPr>
        <w:rFonts w:ascii="宋体" w:hAnsi="宋体" w:eastAsia="宋体" w:cs="宋体"/>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6">
    <w:multiLevelType w:val="hybridMultilevel"/>
    <w:lvl w:ilvl="0">
      <w:start w:val="1"/>
      <w:numFmt w:val="decimal"/>
      <w:isLgl w:val="false"/>
      <w:suff w:val="tab"/>
      <w:lvlText w:val="%1）"/>
      <w:lvlJc w:val="left"/>
      <w:pPr>
        <w:ind w:left="440" w:hanging="440"/>
      </w:pPr>
      <w:rPr>
        <w:rFonts w:ascii="宋体" w:hAnsi="宋体" w:eastAsia="宋体" w:cs="宋体"/>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4"/>
  </w:num>
  <w:num w:numId="4">
    <w:abstractNumId w:val="7"/>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7">
    <w:name w:val="Heading 1"/>
    <w:basedOn w:val="696"/>
    <w:next w:val="696"/>
    <w:link w:val="732"/>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3"/>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4"/>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5"/>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6"/>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7"/>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9"/>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0"/>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索引 41"/>
    <w:basedOn w:val="696"/>
    <w:next w:val="696"/>
    <w:uiPriority w:val="0"/>
    <w:semiHidden/>
    <w:qFormat/>
    <w:pPr>
      <w:ind w:left="1260"/>
    </w:pPr>
    <w:rPr>
      <w:rFonts w:ascii="Calibri" w:hAnsi="Calibri" w:eastAsia="Calibri" w:cs="宋体"/>
      <w:sz w:val="20"/>
      <w:lang w:val="zh-CN"/>
    </w:rPr>
  </w:style>
  <w:style w:type="paragraph" w:styleId="709">
    <w:name w:val="toc 7"/>
    <w:basedOn w:val="696"/>
    <w:next w:val="696"/>
    <w:uiPriority w:val="39"/>
    <w:unhideWhenUsed/>
    <w:qFormat/>
    <w:pPr>
      <w:ind w:left="1701" w:right="0" w:firstLine="0"/>
      <w:spacing w:after="57"/>
    </w:pPr>
  </w:style>
  <w:style w:type="paragraph" w:styleId="710">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annotation text"/>
    <w:basedOn w:val="696"/>
    <w:uiPriority w:val="99"/>
    <w:semiHidden/>
    <w:unhideWhenUsed/>
    <w:qFormat/>
    <w:pPr>
      <w:jc w:val="left"/>
    </w:pPr>
  </w:style>
  <w:style w:type="paragraph" w:styleId="712">
    <w:name w:val="Body Text"/>
    <w:basedOn w:val="696"/>
    <w:uiPriority w:val="99"/>
    <w:unhideWhenUsed/>
    <w:qFormat/>
    <w:pPr>
      <w:jc w:val="both"/>
      <w:spacing w:after="120" w:line="240" w:lineRule="auto"/>
      <w:widowControl w:val="off"/>
    </w:pPr>
    <w:rPr>
      <w:rFonts w:ascii="Times New Roman" w:hAnsi="Times New Roman" w:eastAsia="宋体" w:cs="Times New Roman"/>
      <w:sz w:val="21"/>
      <w:lang w:eastAsia="zh-CN"/>
    </w:rPr>
  </w:style>
  <w:style w:type="paragraph" w:styleId="713">
    <w:name w:val="toc 5"/>
    <w:basedOn w:val="696"/>
    <w:next w:val="696"/>
    <w:uiPriority w:val="39"/>
    <w:unhideWhenUsed/>
    <w:qFormat/>
    <w:pPr>
      <w:ind w:left="1134" w:right="0" w:firstLine="0"/>
      <w:spacing w:after="57"/>
    </w:pPr>
  </w:style>
  <w:style w:type="paragraph" w:styleId="714">
    <w:name w:val="toc 3"/>
    <w:basedOn w:val="696"/>
    <w:next w:val="696"/>
    <w:uiPriority w:val="39"/>
    <w:unhideWhenUsed/>
    <w:qFormat/>
    <w:pPr>
      <w:ind w:left="567" w:right="0" w:firstLine="0"/>
      <w:spacing w:after="57"/>
    </w:pPr>
  </w:style>
  <w:style w:type="paragraph" w:styleId="715">
    <w:name w:val="toc 8"/>
    <w:basedOn w:val="696"/>
    <w:next w:val="696"/>
    <w:uiPriority w:val="39"/>
    <w:unhideWhenUsed/>
    <w:qFormat/>
    <w:pPr>
      <w:ind w:left="1984" w:right="0" w:firstLine="0"/>
      <w:spacing w:after="57"/>
    </w:pPr>
  </w:style>
  <w:style w:type="paragraph" w:styleId="716">
    <w:name w:val="endnote text"/>
    <w:basedOn w:val="696"/>
    <w:link w:val="876"/>
    <w:uiPriority w:val="99"/>
    <w:semiHidden/>
    <w:unhideWhenUsed/>
    <w:qFormat/>
    <w:pPr>
      <w:spacing w:after="0" w:line="240" w:lineRule="auto"/>
    </w:pPr>
    <w:rPr>
      <w:sz w:val="20"/>
    </w:rPr>
  </w:style>
  <w:style w:type="paragraph" w:styleId="717">
    <w:name w:val="Footer"/>
    <w:basedOn w:val="696"/>
    <w:link w:val="749"/>
    <w:uiPriority w:val="99"/>
    <w:unhideWhenUsed/>
    <w:qFormat/>
    <w:pPr>
      <w:spacing w:after="0" w:line="240" w:lineRule="auto"/>
      <w:tabs>
        <w:tab w:val="center" w:pos="7143" w:leader="none"/>
        <w:tab w:val="right" w:pos="14287" w:leader="none"/>
      </w:tabs>
    </w:pPr>
  </w:style>
  <w:style w:type="paragraph" w:styleId="718">
    <w:name w:val="Header"/>
    <w:basedOn w:val="696"/>
    <w:link w:val="747"/>
    <w:uiPriority w:val="99"/>
    <w:unhideWhenUsed/>
    <w:qFormat/>
    <w:pPr>
      <w:spacing w:after="0" w:line="240" w:lineRule="auto"/>
      <w:tabs>
        <w:tab w:val="center" w:pos="7143" w:leader="none"/>
        <w:tab w:val="right" w:pos="14287" w:leader="none"/>
      </w:tabs>
    </w:pPr>
  </w:style>
  <w:style w:type="paragraph" w:styleId="719">
    <w:name w:val="toc 1"/>
    <w:basedOn w:val="696"/>
    <w:next w:val="696"/>
    <w:uiPriority w:val="39"/>
    <w:unhideWhenUsed/>
    <w:qFormat/>
    <w:pPr>
      <w:ind w:left="0" w:right="0" w:firstLine="0"/>
      <w:spacing w:after="57"/>
    </w:pPr>
  </w:style>
  <w:style w:type="paragraph" w:styleId="720">
    <w:name w:val="toc 4"/>
    <w:basedOn w:val="696"/>
    <w:next w:val="696"/>
    <w:uiPriority w:val="39"/>
    <w:unhideWhenUsed/>
    <w:qFormat/>
    <w:pPr>
      <w:ind w:left="850" w:right="0" w:firstLine="0"/>
      <w:spacing w:after="57"/>
    </w:pPr>
  </w:style>
  <w:style w:type="paragraph" w:styleId="721">
    <w:name w:val="Subtitle"/>
    <w:basedOn w:val="696"/>
    <w:next w:val="696"/>
    <w:link w:val="742"/>
    <w:uiPriority w:val="11"/>
    <w:qFormat/>
    <w:pPr>
      <w:spacing w:before="200" w:after="200"/>
    </w:pPr>
    <w:rPr>
      <w:sz w:val="24"/>
      <w:szCs w:val="24"/>
    </w:rPr>
  </w:style>
  <w:style w:type="paragraph" w:styleId="722">
    <w:name w:val="footnote text"/>
    <w:basedOn w:val="696"/>
    <w:link w:val="875"/>
    <w:uiPriority w:val="99"/>
    <w:semiHidden/>
    <w:unhideWhenUsed/>
    <w:qFormat/>
    <w:pPr>
      <w:spacing w:after="40" w:line="240" w:lineRule="auto"/>
    </w:pPr>
    <w:rPr>
      <w:sz w:val="18"/>
    </w:rPr>
  </w:style>
  <w:style w:type="paragraph" w:styleId="723">
    <w:name w:val="toc 6"/>
    <w:basedOn w:val="696"/>
    <w:next w:val="696"/>
    <w:uiPriority w:val="39"/>
    <w:unhideWhenUsed/>
    <w:qFormat/>
    <w:pPr>
      <w:ind w:left="1417" w:right="0" w:firstLine="0"/>
      <w:spacing w:after="57"/>
    </w:pPr>
  </w:style>
  <w:style w:type="paragraph" w:styleId="724">
    <w:name w:val="table of figures"/>
    <w:basedOn w:val="696"/>
    <w:next w:val="696"/>
    <w:uiPriority w:val="99"/>
    <w:unhideWhenUsed/>
    <w:qFormat/>
    <w:pPr>
      <w:spacing w:after="0" w:afterAutospacing="0"/>
    </w:pPr>
  </w:style>
  <w:style w:type="paragraph" w:styleId="725">
    <w:name w:val="toc 2"/>
    <w:basedOn w:val="696"/>
    <w:next w:val="696"/>
    <w:uiPriority w:val="39"/>
    <w:unhideWhenUsed/>
    <w:qFormat/>
    <w:pPr>
      <w:ind w:left="283" w:right="0" w:firstLine="0"/>
      <w:spacing w:after="57"/>
    </w:pPr>
  </w:style>
  <w:style w:type="paragraph" w:styleId="726">
    <w:name w:val="toc 9"/>
    <w:basedOn w:val="696"/>
    <w:next w:val="696"/>
    <w:uiPriority w:val="39"/>
    <w:unhideWhenUsed/>
    <w:qFormat/>
    <w:pPr>
      <w:ind w:left="2268" w:right="0" w:firstLine="0"/>
      <w:spacing w:after="57"/>
    </w:pPr>
  </w:style>
  <w:style w:type="paragraph" w:styleId="727">
    <w:name w:val="Title"/>
    <w:basedOn w:val="696"/>
    <w:next w:val="696"/>
    <w:link w:val="741"/>
    <w:uiPriority w:val="10"/>
    <w:qFormat/>
    <w:pPr>
      <w:contextualSpacing/>
      <w:spacing w:before="300" w:after="200"/>
    </w:pPr>
    <w:rPr>
      <w:sz w:val="48"/>
      <w:szCs w:val="48"/>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character" w:styleId="732" w:customStyle="1">
    <w:name w:val="Heading 1 Char"/>
    <w:link w:val="697"/>
    <w:uiPriority w:val="9"/>
    <w:qFormat/>
    <w:rPr>
      <w:rFonts w:ascii="Arial" w:hAnsi="Arial" w:eastAsia="Arial" w:cs="Arial"/>
      <w:sz w:val="40"/>
      <w:szCs w:val="40"/>
    </w:rPr>
  </w:style>
  <w:style w:type="character" w:styleId="733" w:customStyle="1">
    <w:name w:val="Heading 2 Char"/>
    <w:link w:val="698"/>
    <w:uiPriority w:val="9"/>
    <w:qFormat/>
    <w:rPr>
      <w:rFonts w:ascii="Arial" w:hAnsi="Arial" w:eastAsia="Arial" w:cs="Arial"/>
      <w:sz w:val="34"/>
    </w:rPr>
  </w:style>
  <w:style w:type="character" w:styleId="734" w:customStyle="1">
    <w:name w:val="Heading 3 Char"/>
    <w:link w:val="699"/>
    <w:uiPriority w:val="9"/>
    <w:qFormat/>
    <w:rPr>
      <w:rFonts w:ascii="Arial" w:hAnsi="Arial" w:eastAsia="Arial" w:cs="Arial"/>
      <w:sz w:val="30"/>
      <w:szCs w:val="30"/>
    </w:rPr>
  </w:style>
  <w:style w:type="character" w:styleId="735" w:customStyle="1">
    <w:name w:val="Heading 4 Char"/>
    <w:link w:val="700"/>
    <w:uiPriority w:val="9"/>
    <w:qFormat/>
    <w:rPr>
      <w:rFonts w:ascii="Arial" w:hAnsi="Arial" w:eastAsia="Arial" w:cs="Arial"/>
      <w:b/>
      <w:bCs/>
      <w:sz w:val="26"/>
      <w:szCs w:val="26"/>
    </w:rPr>
  </w:style>
  <w:style w:type="character" w:styleId="736" w:customStyle="1">
    <w:name w:val="Heading 5 Char"/>
    <w:link w:val="701"/>
    <w:uiPriority w:val="9"/>
    <w:qFormat/>
    <w:rPr>
      <w:rFonts w:ascii="Arial" w:hAnsi="Arial" w:eastAsia="Arial" w:cs="Arial"/>
      <w:b/>
      <w:bCs/>
      <w:sz w:val="24"/>
      <w:szCs w:val="24"/>
    </w:rPr>
  </w:style>
  <w:style w:type="character" w:styleId="737" w:customStyle="1">
    <w:name w:val="Heading 6 Char"/>
    <w:link w:val="702"/>
    <w:uiPriority w:val="9"/>
    <w:qFormat/>
    <w:rPr>
      <w:rFonts w:ascii="Arial" w:hAnsi="Arial" w:eastAsia="Arial" w:cs="Arial"/>
      <w:b/>
      <w:bCs/>
      <w:sz w:val="22"/>
      <w:szCs w:val="22"/>
    </w:rPr>
  </w:style>
  <w:style w:type="character" w:styleId="738" w:customStyle="1">
    <w:name w:val="Heading 7 Char"/>
    <w:link w:val="703"/>
    <w:uiPriority w:val="9"/>
    <w:qFormat/>
    <w:rPr>
      <w:rFonts w:ascii="Arial" w:hAnsi="Arial" w:eastAsia="Arial" w:cs="Arial"/>
      <w:b/>
      <w:bCs/>
      <w:i/>
      <w:iCs/>
      <w:sz w:val="22"/>
      <w:szCs w:val="22"/>
    </w:rPr>
  </w:style>
  <w:style w:type="character" w:styleId="739" w:customStyle="1">
    <w:name w:val="Heading 8 Char"/>
    <w:link w:val="704"/>
    <w:uiPriority w:val="9"/>
    <w:qFormat/>
    <w:rPr>
      <w:rFonts w:ascii="Arial" w:hAnsi="Arial" w:eastAsia="Arial" w:cs="Arial"/>
      <w:i/>
      <w:iCs/>
      <w:sz w:val="22"/>
      <w:szCs w:val="22"/>
    </w:rPr>
  </w:style>
  <w:style w:type="character" w:styleId="740" w:customStyle="1">
    <w:name w:val="Heading 9 Char"/>
    <w:link w:val="705"/>
    <w:uiPriority w:val="9"/>
    <w:qFormat/>
    <w:rPr>
      <w:rFonts w:ascii="Arial" w:hAnsi="Arial" w:eastAsia="Arial" w:cs="Arial"/>
      <w:i/>
      <w:iCs/>
      <w:sz w:val="21"/>
      <w:szCs w:val="21"/>
    </w:rPr>
  </w:style>
  <w:style w:type="character" w:styleId="741" w:customStyle="1">
    <w:name w:val="Title Char"/>
    <w:link w:val="727"/>
    <w:uiPriority w:val="10"/>
    <w:qFormat/>
    <w:rPr>
      <w:sz w:val="48"/>
      <w:szCs w:val="48"/>
    </w:rPr>
  </w:style>
  <w:style w:type="character" w:styleId="742" w:customStyle="1">
    <w:name w:val="Subtitle Char"/>
    <w:link w:val="721"/>
    <w:uiPriority w:val="11"/>
    <w:qFormat/>
    <w:rPr>
      <w:sz w:val="24"/>
      <w:szCs w:val="24"/>
    </w:rPr>
  </w:style>
  <w:style w:type="paragraph" w:styleId="743">
    <w:name w:val="Quote"/>
    <w:basedOn w:val="696"/>
    <w:next w:val="696"/>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6"/>
    <w:next w:val="696"/>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8"/>
    <w:uiPriority w:val="99"/>
    <w:qFormat/>
  </w:style>
  <w:style w:type="character" w:styleId="748" w:customStyle="1">
    <w:name w:val="Footer Char"/>
    <w:link w:val="717"/>
    <w:uiPriority w:val="99"/>
    <w:qFormat/>
  </w:style>
  <w:style w:type="character" w:styleId="749" w:customStyle="1">
    <w:name w:val="Caption Char"/>
    <w:link w:val="717"/>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22"/>
    <w:uiPriority w:val="99"/>
    <w:qFormat/>
    <w:rPr>
      <w:sz w:val="18"/>
    </w:rPr>
  </w:style>
  <w:style w:type="character" w:styleId="876" w:customStyle="1">
    <w:name w:val="Endnote Text Char"/>
    <w:link w:val="716"/>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6"/>
    <w:next w:val="696"/>
    <w:link w:val="890"/>
    <w:uiPriority w:val="0"/>
    <w:qFormat/>
    <w:pPr>
      <w:jc w:val="center"/>
      <w:keepNext/>
      <w:outlineLvl w:val="0"/>
    </w:pPr>
    <w:rPr>
      <w:rFonts w:ascii="楷体_GB2312" w:hAnsi="Times New Roman" w:eastAsia="楷体_GB2312" w:cs="Times New Roman"/>
      <w:sz w:val="28"/>
      <w:szCs w:val="28"/>
    </w:rPr>
  </w:style>
  <w:style w:type="paragraph" w:styleId="879" w:customStyle="1">
    <w:name w:val="标题 21"/>
    <w:basedOn w:val="696"/>
    <w:next w:val="880"/>
    <w:link w:val="8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0" w:customStyle="1">
    <w:name w:val="正文缩进1"/>
    <w:basedOn w:val="696"/>
    <w:link w:val="892"/>
    <w:uiPriority w:val="0"/>
    <w:qFormat/>
    <w:pPr>
      <w:ind w:firstLine="420"/>
    </w:pPr>
    <w:rPr>
      <w:szCs w:val="21"/>
    </w:rPr>
  </w:style>
  <w:style w:type="paragraph" w:styleId="881" w:customStyle="1">
    <w:name w:val="标题 31"/>
    <w:basedOn w:val="696"/>
    <w:next w:val="880"/>
    <w:link w:val="89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2" w:customStyle="1">
    <w:name w:val="标题 41"/>
    <w:basedOn w:val="696"/>
    <w:next w:val="880"/>
    <w:link w:val="894"/>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6"/>
    <w:next w:val="880"/>
    <w:link w:val="895"/>
    <w:uiPriority w:val="0"/>
    <w:qFormat/>
    <w:pPr>
      <w:keepNext/>
      <w:outlineLvl w:val="4"/>
    </w:pPr>
    <w:rPr>
      <w:rFonts w:ascii="宋体" w:hAnsi="Times New Roman" w:eastAsia="宋体" w:cs="Times New Roman"/>
      <w:color w:val="000000"/>
      <w:sz w:val="28"/>
      <w:szCs w:val="28"/>
    </w:rPr>
  </w:style>
  <w:style w:type="paragraph" w:styleId="884" w:customStyle="1">
    <w:name w:val="标题 61"/>
    <w:basedOn w:val="696"/>
    <w:next w:val="696"/>
    <w:link w:val="89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5" w:customStyle="1">
    <w:name w:val="标题 71"/>
    <w:basedOn w:val="696"/>
    <w:next w:val="696"/>
    <w:link w:val="89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6" w:customStyle="1">
    <w:name w:val="标题 81"/>
    <w:basedOn w:val="696"/>
    <w:next w:val="696"/>
    <w:link w:val="89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7" w:customStyle="1">
    <w:name w:val="标题 91"/>
    <w:basedOn w:val="696"/>
    <w:next w:val="696"/>
    <w:link w:val="89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8" w:customStyle="1">
    <w:name w:val="默认段落字体1"/>
    <w:link w:val="696"/>
    <w:uiPriority w:val="1"/>
    <w:unhideWhenUsed/>
    <w:qFormat/>
  </w:style>
  <w:style w:type="table" w:styleId="889" w:customStyle="1">
    <w:name w:val="普通表格11"/>
    <w:uiPriority w:val="99"/>
    <w:unhideWhenUsed/>
    <w:qFormat/>
    <w:tblPr/>
  </w:style>
  <w:style w:type="character" w:styleId="890" w:customStyle="1">
    <w:name w:val="标题 1 Char"/>
    <w:link w:val="878"/>
    <w:uiPriority w:val="0"/>
    <w:qFormat/>
    <w:rPr>
      <w:rFonts w:ascii="楷体_GB2312" w:hAnsi="Times New Roman" w:eastAsia="楷体_GB2312" w:cs="Times New Roman"/>
      <w:sz w:val="28"/>
      <w:szCs w:val="28"/>
    </w:rPr>
  </w:style>
  <w:style w:type="character" w:styleId="891" w:customStyle="1">
    <w:name w:val="标题 2 Char"/>
    <w:link w:val="879"/>
    <w:uiPriority w:val="0"/>
    <w:qFormat/>
    <w:rPr>
      <w:rFonts w:ascii="Arial" w:hAnsi="Arial" w:eastAsia="幼圆" w:cs="Arial"/>
      <w:b/>
      <w:bCs/>
      <w:sz w:val="44"/>
      <w:szCs w:val="44"/>
    </w:rPr>
  </w:style>
  <w:style w:type="character" w:styleId="892" w:customStyle="1">
    <w:name w:val="正文缩进 Char"/>
    <w:link w:val="880"/>
    <w:uiPriority w:val="0"/>
    <w:qFormat/>
    <w:rPr>
      <w:szCs w:val="21"/>
    </w:rPr>
  </w:style>
  <w:style w:type="character" w:styleId="893" w:customStyle="1">
    <w:name w:val="标题 3 Char"/>
    <w:link w:val="881"/>
    <w:uiPriority w:val="0"/>
    <w:qFormat/>
    <w:rPr>
      <w:rFonts w:ascii="Times New Roman" w:hAnsi="Times New Roman" w:eastAsia="宋体" w:cs="Times New Roman"/>
      <w:b/>
      <w:bCs/>
      <w:sz w:val="32"/>
      <w:szCs w:val="32"/>
    </w:rPr>
  </w:style>
  <w:style w:type="character" w:styleId="894" w:customStyle="1">
    <w:name w:val="标题 4 Char"/>
    <w:link w:val="882"/>
    <w:uiPriority w:val="0"/>
    <w:qFormat/>
    <w:rPr>
      <w:rFonts w:ascii="Arial" w:hAnsi="Arial" w:eastAsia="黑体" w:cs="Arial"/>
      <w:b/>
      <w:bCs/>
      <w:sz w:val="28"/>
      <w:szCs w:val="28"/>
    </w:rPr>
  </w:style>
  <w:style w:type="character" w:styleId="895" w:customStyle="1">
    <w:name w:val="标题 5 Char"/>
    <w:link w:val="883"/>
    <w:uiPriority w:val="0"/>
    <w:qFormat/>
    <w:rPr>
      <w:rFonts w:ascii="宋体" w:hAnsi="Times New Roman" w:eastAsia="宋体" w:cs="Times New Roman"/>
      <w:color w:val="000000"/>
      <w:sz w:val="28"/>
      <w:szCs w:val="28"/>
    </w:rPr>
  </w:style>
  <w:style w:type="character" w:styleId="896" w:customStyle="1">
    <w:name w:val="标题 6 Char"/>
    <w:link w:val="884"/>
    <w:uiPriority w:val="0"/>
    <w:qFormat/>
    <w:rPr>
      <w:rFonts w:ascii="Arial" w:hAnsi="Arial" w:eastAsia="黑体" w:cs="Times New Roman"/>
      <w:b/>
      <w:bCs/>
      <w:sz w:val="24"/>
      <w:szCs w:val="24"/>
    </w:rPr>
  </w:style>
  <w:style w:type="character" w:styleId="897" w:customStyle="1">
    <w:name w:val="标题 7 Char"/>
    <w:link w:val="885"/>
    <w:uiPriority w:val="0"/>
    <w:qFormat/>
    <w:rPr>
      <w:rFonts w:ascii="Times New Roman" w:hAnsi="Times New Roman" w:eastAsia="宋体" w:cs="Times New Roman"/>
      <w:b/>
      <w:bCs/>
      <w:sz w:val="24"/>
      <w:szCs w:val="24"/>
    </w:rPr>
  </w:style>
  <w:style w:type="character" w:styleId="898" w:customStyle="1">
    <w:name w:val="标题 8 Char"/>
    <w:link w:val="886"/>
    <w:uiPriority w:val="0"/>
    <w:qFormat/>
    <w:rPr>
      <w:rFonts w:ascii="Arial" w:hAnsi="Arial" w:eastAsia="黑体" w:cs="Times New Roman"/>
      <w:sz w:val="24"/>
      <w:szCs w:val="24"/>
    </w:rPr>
  </w:style>
  <w:style w:type="character" w:styleId="899" w:customStyle="1">
    <w:name w:val="标题 9 Char"/>
    <w:link w:val="887"/>
    <w:uiPriority w:val="0"/>
    <w:qFormat/>
    <w:rPr>
      <w:rFonts w:ascii="Arial" w:hAnsi="Arial" w:eastAsia="黑体" w:cs="Times New Roman"/>
      <w:szCs w:val="21"/>
    </w:rPr>
  </w:style>
  <w:style w:type="paragraph" w:styleId="900" w:customStyle="1">
    <w:name w:val="列表 31"/>
    <w:basedOn w:val="696"/>
    <w:uiPriority w:val="0"/>
    <w:qFormat/>
    <w:pPr>
      <w:ind w:left="100" w:hanging="200"/>
    </w:pPr>
    <w:rPr>
      <w:rFonts w:ascii="Times New Roman" w:hAnsi="Times New Roman" w:eastAsia="宋体" w:cs="Times New Roman"/>
      <w:szCs w:val="21"/>
    </w:rPr>
  </w:style>
  <w:style w:type="paragraph" w:styleId="901" w:customStyle="1">
    <w:name w:val="目录 71"/>
    <w:basedOn w:val="696"/>
    <w:next w:val="696"/>
    <w:uiPriority w:val="0"/>
    <w:semiHidden/>
    <w:qFormat/>
    <w:pPr>
      <w:ind w:left="1260"/>
      <w:jc w:val="left"/>
    </w:pPr>
    <w:rPr>
      <w:rFonts w:ascii="Times New Roman" w:hAnsi="Times New Roman" w:eastAsia="宋体" w:cs="Times New Roman"/>
      <w:szCs w:val="21"/>
    </w:rPr>
  </w:style>
  <w:style w:type="paragraph" w:styleId="902" w:customStyle="1">
    <w:name w:val="文档结构图1"/>
    <w:basedOn w:val="696"/>
    <w:link w:val="903"/>
    <w:uiPriority w:val="0"/>
    <w:semiHidden/>
    <w:qFormat/>
    <w:pPr>
      <w:shd w:val="clear" w:color="auto" w:fill="000080"/>
    </w:pPr>
    <w:rPr>
      <w:rFonts w:ascii="Times New Roman" w:hAnsi="Times New Roman" w:eastAsia="宋体" w:cs="Times New Roman"/>
      <w:szCs w:val="21"/>
    </w:rPr>
  </w:style>
  <w:style w:type="character" w:styleId="903" w:customStyle="1">
    <w:name w:val="文档结构图 Char"/>
    <w:link w:val="902"/>
    <w:uiPriority w:val="0"/>
    <w:semiHidden/>
    <w:qFormat/>
    <w:rPr>
      <w:rFonts w:ascii="Times New Roman" w:hAnsi="Times New Roman" w:eastAsia="宋体" w:cs="Times New Roman"/>
      <w:szCs w:val="21"/>
      <w:shd w:val="clear" w:color="auto" w:fill="000080"/>
    </w:rPr>
  </w:style>
  <w:style w:type="paragraph" w:styleId="904" w:customStyle="1">
    <w:name w:val="批注文字1"/>
    <w:basedOn w:val="696"/>
    <w:link w:val="905"/>
    <w:uiPriority w:val="0"/>
    <w:unhideWhenUsed/>
    <w:qFormat/>
    <w:pPr>
      <w:jc w:val="left"/>
    </w:pPr>
  </w:style>
  <w:style w:type="character" w:styleId="905" w:customStyle="1">
    <w:name w:val="批注文字 Char"/>
    <w:basedOn w:val="888"/>
    <w:link w:val="904"/>
    <w:uiPriority w:val="99"/>
    <w:semiHidden/>
    <w:qFormat/>
  </w:style>
  <w:style w:type="paragraph" w:styleId="906" w:customStyle="1">
    <w:name w:val="正文文本 31"/>
    <w:basedOn w:val="696"/>
    <w:link w:val="907"/>
    <w:uiPriority w:val="0"/>
    <w:qFormat/>
    <w:rPr>
      <w:rFonts w:ascii="仿宋_GB2312" w:hAnsi="Arial" w:eastAsia="仿宋_GB2312" w:cs="Times New Roman"/>
      <w:sz w:val="32"/>
      <w:szCs w:val="32"/>
    </w:rPr>
  </w:style>
  <w:style w:type="character" w:styleId="907" w:customStyle="1">
    <w:name w:val="正文文本 3 Char"/>
    <w:link w:val="906"/>
    <w:uiPriority w:val="0"/>
    <w:qFormat/>
    <w:rPr>
      <w:rFonts w:ascii="仿宋_GB2312" w:hAnsi="Arial" w:eastAsia="仿宋_GB2312" w:cs="Times New Roman"/>
      <w:sz w:val="32"/>
      <w:szCs w:val="32"/>
    </w:rPr>
  </w:style>
  <w:style w:type="paragraph" w:styleId="908" w:customStyle="1">
    <w:name w:val="正文文本11"/>
    <w:basedOn w:val="696"/>
    <w:link w:val="909"/>
    <w:uiPriority w:val="0"/>
    <w:qFormat/>
    <w:rPr>
      <w:rFonts w:ascii="楷体_GB2312" w:hAnsi="Arial" w:eastAsia="楷体_GB2312" w:cs="Times New Roman"/>
      <w:sz w:val="28"/>
      <w:szCs w:val="28"/>
    </w:rPr>
  </w:style>
  <w:style w:type="character" w:styleId="909" w:customStyle="1">
    <w:name w:val="正文文本 Char"/>
    <w:link w:val="908"/>
    <w:uiPriority w:val="0"/>
    <w:qFormat/>
    <w:rPr>
      <w:rFonts w:ascii="楷体_GB2312" w:hAnsi="Arial" w:eastAsia="楷体_GB2312" w:cs="Times New Roman"/>
      <w:sz w:val="28"/>
      <w:szCs w:val="28"/>
    </w:rPr>
  </w:style>
  <w:style w:type="paragraph" w:styleId="910" w:customStyle="1">
    <w:name w:val="正文文本缩进11"/>
    <w:basedOn w:val="696"/>
    <w:next w:val="911"/>
    <w:link w:val="912"/>
    <w:uiPriority w:val="0"/>
    <w:unhideWhenUsed/>
    <w:qFormat/>
    <w:pPr>
      <w:ind w:left="420"/>
      <w:spacing w:after="120"/>
    </w:pPr>
  </w:style>
  <w:style w:type="paragraph" w:styleId="911" w:customStyle="1">
    <w:name w:val="寄信人地址1"/>
    <w:basedOn w:val="696"/>
    <w:uiPriority w:val="0"/>
    <w:qFormat/>
    <w:rPr>
      <w:rFonts w:ascii="Arial" w:hAnsi="Arial" w:eastAsia="宋体" w:cs="宋体"/>
    </w:rPr>
  </w:style>
  <w:style w:type="character" w:styleId="912" w:customStyle="1">
    <w:name w:val="正文文本缩进 Char"/>
    <w:basedOn w:val="888"/>
    <w:link w:val="910"/>
    <w:uiPriority w:val="99"/>
    <w:semiHidden/>
    <w:qFormat/>
  </w:style>
  <w:style w:type="paragraph" w:styleId="913" w:customStyle="1">
    <w:name w:val="列表 21"/>
    <w:basedOn w:val="696"/>
    <w:uiPriority w:val="0"/>
    <w:qFormat/>
    <w:pPr>
      <w:ind w:left="100" w:hanging="200"/>
    </w:pPr>
    <w:rPr>
      <w:rFonts w:ascii="Times New Roman" w:hAnsi="Times New Roman" w:eastAsia="宋体" w:cs="Times New Roman"/>
      <w:szCs w:val="21"/>
    </w:rPr>
  </w:style>
  <w:style w:type="paragraph" w:styleId="914" w:customStyle="1">
    <w:name w:val="索引 42"/>
    <w:basedOn w:val="696"/>
    <w:next w:val="696"/>
    <w:uiPriority w:val="0"/>
    <w:semiHidden/>
    <w:qFormat/>
    <w:pPr>
      <w:ind w:left="1260"/>
    </w:pPr>
    <w:rPr>
      <w:rFonts w:ascii="Calibri" w:hAnsi="Calibri" w:eastAsia="Calibri" w:cs="宋体"/>
      <w:sz w:val="20"/>
      <w:lang w:val="zh-CN"/>
    </w:rPr>
  </w:style>
  <w:style w:type="paragraph" w:styleId="915" w:customStyle="1">
    <w:name w:val="目录 51"/>
    <w:basedOn w:val="696"/>
    <w:next w:val="696"/>
    <w:uiPriority w:val="0"/>
    <w:semiHidden/>
    <w:qFormat/>
    <w:pPr>
      <w:ind w:left="840"/>
      <w:jc w:val="left"/>
    </w:pPr>
    <w:rPr>
      <w:rFonts w:ascii="Times New Roman" w:hAnsi="Times New Roman" w:eastAsia="宋体" w:cs="Times New Roman"/>
      <w:szCs w:val="21"/>
    </w:rPr>
  </w:style>
  <w:style w:type="paragraph" w:styleId="916" w:customStyle="1">
    <w:name w:val="目录 31"/>
    <w:basedOn w:val="696"/>
    <w:next w:val="696"/>
    <w:uiPriority w:val="0"/>
    <w:semiHidden/>
    <w:qFormat/>
    <w:pPr>
      <w:ind w:left="420"/>
      <w:jc w:val="left"/>
    </w:pPr>
    <w:rPr>
      <w:rFonts w:ascii="Times New Roman" w:hAnsi="Times New Roman" w:eastAsia="宋体" w:cs="Times New Roman"/>
      <w:i/>
      <w:iCs/>
      <w:szCs w:val="24"/>
    </w:rPr>
  </w:style>
  <w:style w:type="paragraph" w:styleId="917" w:customStyle="1">
    <w:name w:val="纯文本11"/>
    <w:basedOn w:val="696"/>
    <w:link w:val="918"/>
    <w:uiPriority w:val="0"/>
    <w:qFormat/>
    <w:rPr>
      <w:rFonts w:ascii="宋体" w:hAnsi="Courier New" w:eastAsia="宋体" w:cs="Courier New"/>
      <w:szCs w:val="21"/>
    </w:rPr>
  </w:style>
  <w:style w:type="character" w:styleId="918" w:customStyle="1">
    <w:name w:val="纯文本 Char"/>
    <w:link w:val="917"/>
    <w:uiPriority w:val="0"/>
    <w:qFormat/>
    <w:rPr>
      <w:rFonts w:ascii="宋体" w:hAnsi="Courier New" w:eastAsia="宋体" w:cs="Courier New"/>
      <w:szCs w:val="21"/>
    </w:rPr>
  </w:style>
  <w:style w:type="paragraph" w:styleId="919" w:customStyle="1">
    <w:name w:val="目录 81"/>
    <w:basedOn w:val="696"/>
    <w:next w:val="696"/>
    <w:uiPriority w:val="0"/>
    <w:semiHidden/>
    <w:qFormat/>
    <w:pPr>
      <w:ind w:left="1470"/>
      <w:jc w:val="left"/>
    </w:pPr>
    <w:rPr>
      <w:rFonts w:ascii="Times New Roman" w:hAnsi="Times New Roman" w:eastAsia="宋体" w:cs="Times New Roman"/>
      <w:szCs w:val="21"/>
    </w:rPr>
  </w:style>
  <w:style w:type="paragraph" w:styleId="920" w:customStyle="1">
    <w:name w:val="日期1"/>
    <w:basedOn w:val="696"/>
    <w:next w:val="696"/>
    <w:link w:val="921"/>
    <w:uiPriority w:val="0"/>
    <w:qFormat/>
    <w:rPr>
      <w:rFonts w:ascii="Times New Roman" w:hAnsi="Times New Roman" w:eastAsia="宋体" w:cs="Times New Roman"/>
      <w:sz w:val="24"/>
      <w:szCs w:val="24"/>
    </w:rPr>
  </w:style>
  <w:style w:type="character" w:styleId="921" w:customStyle="1">
    <w:name w:val="日期 Char"/>
    <w:link w:val="920"/>
    <w:uiPriority w:val="0"/>
    <w:qFormat/>
    <w:rPr>
      <w:rFonts w:ascii="Times New Roman" w:hAnsi="Times New Roman" w:eastAsia="宋体" w:cs="Times New Roman"/>
      <w:sz w:val="24"/>
      <w:szCs w:val="24"/>
    </w:rPr>
  </w:style>
  <w:style w:type="paragraph" w:styleId="922" w:customStyle="1">
    <w:name w:val="正文文本缩进 21"/>
    <w:basedOn w:val="696"/>
    <w:link w:val="923"/>
    <w:uiPriority w:val="0"/>
    <w:qFormat/>
    <w:pPr>
      <w:ind w:left="630" w:firstLine="645"/>
    </w:pPr>
    <w:rPr>
      <w:rFonts w:ascii="Arial" w:hAnsi="Arial" w:eastAsia="仿宋_GB2312" w:cs="Arial"/>
      <w:sz w:val="32"/>
      <w:szCs w:val="32"/>
    </w:rPr>
  </w:style>
  <w:style w:type="character" w:styleId="923" w:customStyle="1">
    <w:name w:val="正文文本缩进 2 Char"/>
    <w:link w:val="922"/>
    <w:uiPriority w:val="0"/>
    <w:qFormat/>
    <w:rPr>
      <w:rFonts w:ascii="Arial" w:hAnsi="Arial" w:eastAsia="仿宋_GB2312" w:cs="Arial"/>
      <w:sz w:val="32"/>
      <w:szCs w:val="32"/>
    </w:rPr>
  </w:style>
  <w:style w:type="paragraph" w:styleId="924" w:customStyle="1">
    <w:name w:val="批注框文本1"/>
    <w:basedOn w:val="696"/>
    <w:link w:val="925"/>
    <w:uiPriority w:val="0"/>
    <w:semiHidden/>
    <w:qFormat/>
    <w:rPr>
      <w:rFonts w:ascii="Times New Roman" w:hAnsi="Times New Roman" w:eastAsia="宋体" w:cs="Times New Roman"/>
      <w:sz w:val="18"/>
      <w:szCs w:val="18"/>
    </w:rPr>
  </w:style>
  <w:style w:type="character" w:styleId="925" w:customStyle="1">
    <w:name w:val="批注框文本 Char"/>
    <w:link w:val="924"/>
    <w:uiPriority w:val="0"/>
    <w:semiHidden/>
    <w:qFormat/>
    <w:rPr>
      <w:rFonts w:ascii="Times New Roman" w:hAnsi="Times New Roman" w:eastAsia="宋体" w:cs="Times New Roman"/>
      <w:sz w:val="18"/>
      <w:szCs w:val="18"/>
    </w:rPr>
  </w:style>
  <w:style w:type="paragraph" w:styleId="926" w:customStyle="1">
    <w:name w:val="页脚1"/>
    <w:basedOn w:val="696"/>
    <w:link w:val="92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7" w:customStyle="1">
    <w:name w:val="页脚 Char"/>
    <w:link w:val="926"/>
    <w:uiPriority w:val="0"/>
    <w:qFormat/>
    <w:rPr>
      <w:rFonts w:ascii="Times New Roman" w:hAnsi="Times New Roman" w:eastAsia="宋体" w:cs="Times New Roman"/>
      <w:sz w:val="18"/>
      <w:szCs w:val="18"/>
    </w:rPr>
  </w:style>
  <w:style w:type="paragraph" w:styleId="928" w:customStyle="1">
    <w:name w:val="页眉1"/>
    <w:basedOn w:val="696"/>
    <w:link w:val="92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customStyle="1">
    <w:name w:val="页眉 Char"/>
    <w:link w:val="928"/>
    <w:uiPriority w:val="0"/>
    <w:qFormat/>
    <w:rPr>
      <w:rFonts w:ascii="Times New Roman" w:hAnsi="Times New Roman" w:eastAsia="宋体" w:cs="Times New Roman"/>
      <w:sz w:val="18"/>
      <w:szCs w:val="18"/>
    </w:rPr>
  </w:style>
  <w:style w:type="paragraph" w:styleId="930" w:customStyle="1">
    <w:name w:val="目录 11"/>
    <w:basedOn w:val="696"/>
    <w:next w:val="69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1" w:customStyle="1">
    <w:name w:val="目录 41"/>
    <w:basedOn w:val="696"/>
    <w:next w:val="696"/>
    <w:uiPriority w:val="0"/>
    <w:semiHidden/>
    <w:qFormat/>
    <w:pPr>
      <w:ind w:left="630"/>
      <w:jc w:val="left"/>
    </w:pPr>
    <w:rPr>
      <w:rFonts w:ascii="Times New Roman" w:hAnsi="Times New Roman" w:eastAsia="宋体" w:cs="Times New Roman"/>
      <w:szCs w:val="21"/>
    </w:rPr>
  </w:style>
  <w:style w:type="paragraph" w:styleId="932" w:customStyle="1">
    <w:name w:val="列表1"/>
    <w:basedOn w:val="696"/>
    <w:uiPriority w:val="0"/>
    <w:qFormat/>
    <w:pPr>
      <w:ind w:left="200" w:hanging="200"/>
    </w:pPr>
    <w:rPr>
      <w:rFonts w:ascii="Times New Roman" w:hAnsi="Times New Roman" w:eastAsia="宋体" w:cs="Times New Roman"/>
      <w:szCs w:val="21"/>
    </w:rPr>
  </w:style>
  <w:style w:type="paragraph" w:styleId="933" w:customStyle="1">
    <w:name w:val="目录 61"/>
    <w:basedOn w:val="696"/>
    <w:next w:val="696"/>
    <w:uiPriority w:val="0"/>
    <w:semiHidden/>
    <w:qFormat/>
    <w:pPr>
      <w:ind w:left="1050"/>
      <w:jc w:val="left"/>
    </w:pPr>
    <w:rPr>
      <w:rFonts w:ascii="Times New Roman" w:hAnsi="Times New Roman" w:eastAsia="宋体" w:cs="Times New Roman"/>
      <w:szCs w:val="21"/>
    </w:rPr>
  </w:style>
  <w:style w:type="paragraph" w:styleId="934" w:customStyle="1">
    <w:name w:val="正文文本缩进 31"/>
    <w:basedOn w:val="696"/>
    <w:link w:val="935"/>
    <w:uiPriority w:val="0"/>
    <w:qFormat/>
    <w:pPr>
      <w:ind w:left="645" w:firstLine="645"/>
    </w:pPr>
    <w:rPr>
      <w:rFonts w:ascii="Arial" w:hAnsi="Arial" w:eastAsia="仿宋_GB2312" w:cs="Arial"/>
      <w:color w:val="ffff00"/>
      <w:sz w:val="32"/>
      <w:szCs w:val="32"/>
    </w:rPr>
  </w:style>
  <w:style w:type="character" w:styleId="935" w:customStyle="1">
    <w:name w:val="正文文本缩进 3 Char"/>
    <w:link w:val="934"/>
    <w:uiPriority w:val="0"/>
    <w:qFormat/>
    <w:rPr>
      <w:rFonts w:ascii="Arial" w:hAnsi="Arial" w:eastAsia="仿宋_GB2312" w:cs="Arial"/>
      <w:color w:val="ffff00"/>
      <w:sz w:val="32"/>
      <w:szCs w:val="32"/>
    </w:rPr>
  </w:style>
  <w:style w:type="paragraph" w:styleId="936" w:customStyle="1">
    <w:name w:val="图表目录1"/>
    <w:basedOn w:val="696"/>
    <w:next w:val="696"/>
    <w:uiPriority w:val="0"/>
    <w:semiHidden/>
    <w:qFormat/>
    <w:pPr>
      <w:ind w:left="840" w:hanging="420"/>
    </w:pPr>
    <w:rPr>
      <w:rFonts w:ascii="Times New Roman" w:hAnsi="Times New Roman" w:eastAsia="宋体" w:cs="Times New Roman"/>
      <w:szCs w:val="21"/>
    </w:rPr>
  </w:style>
  <w:style w:type="paragraph" w:styleId="937" w:customStyle="1">
    <w:name w:val="目录 21"/>
    <w:basedOn w:val="696"/>
    <w:next w:val="696"/>
    <w:uiPriority w:val="0"/>
    <w:semiHidden/>
    <w:qFormat/>
    <w:pPr>
      <w:ind w:left="210"/>
      <w:jc w:val="left"/>
    </w:pPr>
    <w:rPr>
      <w:rFonts w:ascii="Times New Roman" w:hAnsi="Times New Roman" w:eastAsia="宋体" w:cs="Times New Roman"/>
      <w:smallCaps/>
      <w:szCs w:val="24"/>
    </w:rPr>
  </w:style>
  <w:style w:type="paragraph" w:styleId="938" w:customStyle="1">
    <w:name w:val="目录 91"/>
    <w:basedOn w:val="696"/>
    <w:next w:val="696"/>
    <w:uiPriority w:val="0"/>
    <w:semiHidden/>
    <w:qFormat/>
    <w:pPr>
      <w:ind w:left="1680"/>
      <w:jc w:val="left"/>
    </w:pPr>
    <w:rPr>
      <w:rFonts w:ascii="Times New Roman" w:hAnsi="Times New Roman" w:eastAsia="宋体" w:cs="Times New Roman"/>
      <w:szCs w:val="21"/>
    </w:rPr>
  </w:style>
  <w:style w:type="paragraph" w:styleId="939" w:customStyle="1">
    <w:name w:val="正文文本 21"/>
    <w:basedOn w:val="696"/>
    <w:link w:val="940"/>
    <w:uiPriority w:val="0"/>
    <w:qFormat/>
    <w:pPr>
      <w:jc w:val="center"/>
      <w:widowControl/>
    </w:pPr>
    <w:rPr>
      <w:rFonts w:ascii="楷体_GB2312" w:hAnsi="Times New Roman" w:eastAsia="楷体_GB2312" w:cs="Times New Roman"/>
      <w:sz w:val="28"/>
      <w:szCs w:val="28"/>
    </w:rPr>
  </w:style>
  <w:style w:type="character" w:styleId="940" w:customStyle="1">
    <w:name w:val="正文文本 2 Char"/>
    <w:link w:val="939"/>
    <w:uiPriority w:val="0"/>
    <w:qFormat/>
    <w:rPr>
      <w:rFonts w:ascii="楷体_GB2312" w:hAnsi="Times New Roman" w:eastAsia="楷体_GB2312" w:cs="Times New Roman"/>
      <w:sz w:val="28"/>
      <w:szCs w:val="28"/>
    </w:rPr>
  </w:style>
  <w:style w:type="paragraph" w:styleId="941" w:customStyle="1">
    <w:name w:val="普通(网站)1"/>
    <w:basedOn w:val="696"/>
    <w:uiPriority w:val="99"/>
    <w:qFormat/>
    <w:pPr>
      <w:jc w:val="left"/>
      <w:spacing w:before="100" w:beforeAutospacing="1" w:after="100" w:afterAutospacing="1"/>
      <w:widowControl/>
    </w:pPr>
    <w:rPr>
      <w:rFonts w:ascii="宋体" w:hAnsi="宋体" w:eastAsia="宋体" w:cs="宋体"/>
      <w:sz w:val="24"/>
      <w:szCs w:val="24"/>
    </w:rPr>
  </w:style>
  <w:style w:type="paragraph" w:styleId="942" w:customStyle="1">
    <w:name w:val="索引 11"/>
    <w:basedOn w:val="696"/>
    <w:next w:val="696"/>
    <w:uiPriority w:val="0"/>
    <w:semiHidden/>
    <w:qFormat/>
    <w:pPr>
      <w:spacing w:line="240" w:lineRule="atLeast"/>
    </w:pPr>
    <w:rPr>
      <w:rFonts w:ascii="Times New Roman" w:hAnsi="Times New Roman" w:eastAsia="宋体" w:cs="Times New Roman"/>
      <w:b/>
      <w:bCs/>
      <w:szCs w:val="21"/>
    </w:rPr>
  </w:style>
  <w:style w:type="paragraph" w:styleId="943" w:customStyle="1">
    <w:name w:val="批注主题1"/>
    <w:basedOn w:val="904"/>
    <w:next w:val="904"/>
    <w:link w:val="944"/>
    <w:uiPriority w:val="0"/>
    <w:semiHidden/>
    <w:qFormat/>
    <w:rPr>
      <w:rFonts w:ascii="Times New Roman" w:hAnsi="Times New Roman" w:eastAsia="宋体" w:cs="Times New Roman"/>
      <w:b/>
      <w:bCs/>
      <w:szCs w:val="21"/>
    </w:rPr>
  </w:style>
  <w:style w:type="character" w:styleId="944" w:customStyle="1">
    <w:name w:val="批注主题 Char"/>
    <w:link w:val="943"/>
    <w:uiPriority w:val="0"/>
    <w:semiHidden/>
    <w:qFormat/>
    <w:rPr>
      <w:rFonts w:ascii="Times New Roman" w:hAnsi="Times New Roman" w:eastAsia="宋体" w:cs="Times New Roman"/>
      <w:b/>
      <w:bCs/>
      <w:szCs w:val="21"/>
    </w:rPr>
  </w:style>
  <w:style w:type="paragraph" w:styleId="945" w:customStyle="1">
    <w:name w:val="正文首行缩进1"/>
    <w:basedOn w:val="696"/>
    <w:link w:val="946"/>
    <w:uiPriority w:val="0"/>
    <w:qFormat/>
    <w:pPr>
      <w:ind w:firstLine="200"/>
      <w:spacing w:line="360" w:lineRule="auto"/>
    </w:pPr>
    <w:rPr>
      <w:rFonts w:ascii="仿宋_GB2312" w:hAnsi="Times New Roman" w:eastAsia="仿宋_GB2312" w:cs="Times New Roman"/>
      <w:sz w:val="30"/>
      <w:szCs w:val="30"/>
    </w:rPr>
  </w:style>
  <w:style w:type="character" w:styleId="946" w:customStyle="1">
    <w:name w:val="正文首行缩进 Char"/>
    <w:link w:val="945"/>
    <w:uiPriority w:val="0"/>
    <w:qFormat/>
    <w:rPr>
      <w:rFonts w:ascii="仿宋_GB2312" w:hAnsi="Times New Roman" w:eastAsia="仿宋_GB2312" w:cs="Times New Roman"/>
      <w:sz w:val="30"/>
      <w:szCs w:val="30"/>
    </w:rPr>
  </w:style>
  <w:style w:type="paragraph" w:styleId="947" w:customStyle="1">
    <w:name w:val="正文首行缩进 21"/>
    <w:basedOn w:val="910"/>
    <w:next w:val="696"/>
    <w:link w:val="948"/>
    <w:uiPriority w:val="0"/>
    <w:qFormat/>
    <w:pPr>
      <w:ind w:left="0" w:firstLine="420"/>
      <w:spacing w:after="0" w:line="360" w:lineRule="auto"/>
    </w:pPr>
    <w:rPr>
      <w:rFonts w:ascii="宋体" w:hAnsi="宋体" w:eastAsia="宋体" w:cs="Times New Roman"/>
      <w:szCs w:val="20"/>
    </w:rPr>
  </w:style>
  <w:style w:type="character" w:styleId="948" w:customStyle="1">
    <w:name w:val="正文首行缩进 2 Char"/>
    <w:link w:val="947"/>
    <w:uiPriority w:val="0"/>
    <w:qFormat/>
    <w:rPr>
      <w:rFonts w:ascii="宋体" w:hAnsi="宋体" w:eastAsia="宋体" w:cs="Times New Roman"/>
      <w:szCs w:val="20"/>
    </w:rPr>
  </w:style>
  <w:style w:type="table" w:styleId="949" w:customStyle="1">
    <w:name w:val="网格型11"/>
    <w:basedOn w:val="889"/>
    <w:uiPriority w:val="0"/>
    <w:qFormat/>
    <w:pPr>
      <w:jc w:val="both"/>
      <w:widowControl w:val="off"/>
    </w:pPr>
    <w:rPr>
      <w:rFonts w:ascii="Times New Roman" w:hAnsi="Times New Roman" w:eastAsia="宋体" w:cs="Times New Roman"/>
      <w:sz w:val="20"/>
      <w:szCs w:val="20"/>
    </w:rPr>
    <w:tblPr/>
  </w:style>
  <w:style w:type="character" w:styleId="950" w:customStyle="1">
    <w:name w:val="要点1"/>
    <w:link w:val="696"/>
    <w:uiPriority w:val="0"/>
    <w:qFormat/>
    <w:rPr>
      <w:b/>
      <w:bCs/>
    </w:rPr>
  </w:style>
  <w:style w:type="character" w:styleId="951" w:customStyle="1">
    <w:name w:val="页码1"/>
    <w:link w:val="696"/>
    <w:uiPriority w:val="0"/>
    <w:qFormat/>
  </w:style>
  <w:style w:type="character" w:styleId="952" w:customStyle="1">
    <w:name w:val="已访问的超链接1"/>
    <w:link w:val="696"/>
    <w:uiPriority w:val="0"/>
    <w:qFormat/>
    <w:rPr>
      <w:color w:val="800080"/>
      <w:u w:val="single"/>
    </w:rPr>
  </w:style>
  <w:style w:type="character" w:styleId="953" w:customStyle="1">
    <w:name w:val="超链接1"/>
    <w:link w:val="696"/>
    <w:uiPriority w:val="0"/>
    <w:qFormat/>
    <w:rPr>
      <w:color w:val="0000ff"/>
      <w:u w:val="single"/>
    </w:rPr>
  </w:style>
  <w:style w:type="character" w:styleId="954" w:customStyle="1">
    <w:name w:val="批注引用1"/>
    <w:link w:val="696"/>
    <w:uiPriority w:val="0"/>
    <w:semiHidden/>
    <w:qFormat/>
    <w:rPr>
      <w:sz w:val="21"/>
      <w:szCs w:val="21"/>
    </w:rPr>
  </w:style>
  <w:style w:type="paragraph" w:styleId="955" w:customStyle="1">
    <w:name w:val="正文文本缩进1"/>
    <w:basedOn w:val="696"/>
    <w:next w:val="956"/>
    <w:uiPriority w:val="0"/>
    <w:unhideWhenUsed/>
    <w:qFormat/>
    <w:pPr>
      <w:ind w:left="420"/>
      <w:spacing w:after="120"/>
    </w:pPr>
  </w:style>
  <w:style w:type="paragraph" w:styleId="956" w:customStyle="1">
    <w:name w:val="正文文本首行缩进 2"/>
    <w:basedOn w:val="955"/>
    <w:uiPriority w:val="0"/>
    <w:qFormat/>
    <w:pPr>
      <w:ind w:left="0" w:firstLine="420"/>
      <w:spacing w:after="0" w:line="360" w:lineRule="auto"/>
    </w:pPr>
    <w:rPr>
      <w:rFonts w:ascii="宋体" w:hAnsi="宋体"/>
      <w:sz w:val="20"/>
      <w:szCs w:val="20"/>
      <w:lang w:val="en-US" w:eastAsia="en-US"/>
    </w:rPr>
  </w:style>
  <w:style w:type="character" w:styleId="957" w:customStyle="1">
    <w:name w:val="font5 Char"/>
    <w:link w:val="696"/>
    <w:uiPriority w:val="0"/>
    <w:qFormat/>
    <w:rPr>
      <w:rFonts w:ascii="宋体" w:hAnsi="宋体" w:eastAsia="宋体"/>
      <w:sz w:val="28"/>
      <w:szCs w:val="28"/>
      <w:lang w:val="en-US" w:eastAsia="zh-CN" w:bidi="ar-SA"/>
    </w:rPr>
  </w:style>
  <w:style w:type="character" w:styleId="958" w:customStyle="1">
    <w:name w:val="二级目录 Char"/>
    <w:link w:val="959"/>
    <w:uiPriority w:val="0"/>
    <w:qFormat/>
    <w:rPr>
      <w:b/>
      <w:sz w:val="30"/>
      <w:szCs w:val="28"/>
    </w:rPr>
  </w:style>
  <w:style w:type="paragraph" w:styleId="959" w:customStyle="1">
    <w:name w:val="二级目录"/>
    <w:next w:val="696"/>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696"/>
    <w:link w:val="960"/>
    <w:uiPriority w:val="0"/>
    <w:qFormat/>
    <w:pPr>
      <w:contextualSpacing/>
      <w:ind w:left="720"/>
      <w:jc w:val="left"/>
      <w:widowControl/>
    </w:pPr>
    <w:rPr>
      <w:rFonts w:ascii="Calibri" w:hAnsi="Calibri"/>
      <w:sz w:val="24"/>
      <w:szCs w:val="24"/>
      <w:lang w:eastAsia="en-US" w:bidi="en-US"/>
    </w:rPr>
  </w:style>
  <w:style w:type="paragraph" w:styleId="962" w:customStyle="1">
    <w:name w:val="Body Text(ch)"/>
    <w:basedOn w:val="696"/>
    <w:next w:val="908"/>
    <w:uiPriority w:val="0"/>
    <w:qFormat/>
    <w:pPr>
      <w:spacing w:after="120"/>
    </w:pPr>
    <w:rPr>
      <w:rFonts w:ascii="宋体" w:hAnsi="Arial" w:eastAsia="宋体" w:cs="Times New Roman"/>
      <w:bCs/>
      <w:iCs/>
      <w:szCs w:val="24"/>
    </w:rPr>
  </w:style>
  <w:style w:type="paragraph" w:styleId="963"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customStyle="1">
    <w:name w:val="Char"/>
    <w:basedOn w:val="696"/>
    <w:uiPriority w:val="0"/>
    <w:qFormat/>
    <w:pPr>
      <w:ind w:firstLine="200"/>
      <w:tabs>
        <w:tab w:val="left" w:pos="360" w:leader="none"/>
      </w:tabs>
    </w:pPr>
    <w:rPr>
      <w:rFonts w:ascii="Times New Roman" w:hAnsi="Times New Roman" w:eastAsia="宋体" w:cs="Times New Roman"/>
      <w:sz w:val="28"/>
      <w:szCs w:val="30"/>
    </w:rPr>
  </w:style>
  <w:style w:type="paragraph" w:styleId="966" w:customStyle="1">
    <w:name w:val=" Char"/>
    <w:basedOn w:val="902"/>
    <w:uiPriority w:val="0"/>
    <w:rPr>
      <w:rFonts w:ascii="Tahoma" w:hAnsi="Tahoma"/>
      <w:sz w:val="24"/>
      <w:szCs w:val="24"/>
    </w:rPr>
  </w:style>
  <w:style w:type="paragraph" w:styleId="967" w:customStyle="1">
    <w:name w:val="普通正文"/>
    <w:basedOn w:val="696"/>
    <w:uiPriority w:val="0"/>
    <w:qFormat/>
    <w:pPr>
      <w:ind w:firstLine="480"/>
      <w:jc w:val="left"/>
      <w:spacing w:before="120" w:after="120" w:line="360" w:lineRule="auto"/>
    </w:pPr>
    <w:rPr>
      <w:rFonts w:ascii="Arial" w:hAnsi="Arial" w:eastAsia="宋体" w:cs="Times New Roman"/>
      <w:sz w:val="24"/>
      <w:szCs w:val="24"/>
    </w:rPr>
  </w:style>
  <w:style w:type="paragraph" w:styleId="968" w:customStyle="1">
    <w:name w:val="table_lines"/>
    <w:basedOn w:val="696"/>
    <w:uiPriority w:val="0"/>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7"/>
    <w:basedOn w:val="69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1" w:customStyle="1">
    <w:name w:val=" Char Char Char Char"/>
    <w:basedOn w:val="902"/>
    <w:uiPriority w:val="0"/>
    <w:qFormat/>
    <w:pPr>
      <w:spacing w:line="360" w:lineRule="auto"/>
    </w:pPr>
    <w:rPr>
      <w:rFonts w:ascii="Tahoma" w:hAnsi="Tahoma"/>
      <w:sz w:val="24"/>
      <w:szCs w:val="24"/>
    </w:rPr>
  </w:style>
  <w:style w:type="paragraph" w:styleId="972">
    <w:name w:val="List Paragraph"/>
    <w:basedOn w:val="696"/>
    <w:uiPriority w:val="0"/>
    <w:qFormat/>
    <w:pPr>
      <w:contextualSpacing/>
      <w:ind w:left="720"/>
      <w:jc w:val="left"/>
      <w:widowControl/>
    </w:pPr>
    <w:rPr>
      <w:rFonts w:ascii="Calibri" w:hAnsi="Calibri" w:eastAsia="宋体" w:cs="Times New Roman"/>
      <w:sz w:val="24"/>
      <w:szCs w:val="24"/>
      <w:lang w:eastAsia="en-US" w:bidi="en-US"/>
    </w:rPr>
  </w:style>
  <w:style w:type="paragraph" w:styleId="973" w:customStyle="1">
    <w:name w:val="4"/>
    <w:basedOn w:val="696"/>
    <w:next w:val="934"/>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普通 (Web)"/>
    <w:basedOn w:val="696"/>
    <w:uiPriority w:val="0"/>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 Char Char Char Char Char Char Char Char Char Char"/>
    <w:basedOn w:val="696"/>
    <w:uiPriority w:val="0"/>
    <w:qFormat/>
    <w:pPr>
      <w:spacing w:line="360" w:lineRule="auto"/>
    </w:pPr>
    <w:rPr>
      <w:rFonts w:ascii="Times New Roman" w:hAnsi="Times New Roman" w:eastAsia="宋体" w:cs="Times New Roman"/>
      <w:sz w:val="24"/>
      <w:szCs w:val="20"/>
    </w:rPr>
  </w:style>
  <w:style w:type="paragraph" w:styleId="976" w:customStyle="1">
    <w:name w:val="样式1"/>
    <w:basedOn w:val="696"/>
    <w:uiPriority w:val="0"/>
    <w:qFormat/>
    <w:pPr>
      <w:numPr>
        <w:ilvl w:val="0"/>
        <w:numId w:val="3"/>
      </w:numPr>
    </w:pPr>
    <w:rPr>
      <w:rFonts w:ascii="宋体" w:hAnsi="宋体" w:eastAsia="宋体" w:cs="Times New Roman"/>
      <w:szCs w:val="21"/>
    </w:rPr>
  </w:style>
  <w:style w:type="paragraph" w:styleId="977" w:customStyle="1">
    <w:name w:val="font6"/>
    <w:basedOn w:val="6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标题3"/>
    <w:basedOn w:val="696"/>
    <w:next w:val="696"/>
    <w:uiPriority w:val="0"/>
    <w:qFormat/>
    <w:pPr>
      <w:ind w:firstLine="624"/>
      <w:spacing w:line="590" w:lineRule="atLeast"/>
    </w:pPr>
    <w:rPr>
      <w:rFonts w:ascii="方正黑体_GBK" w:hAnsi="Times New Roman" w:eastAsia="方正黑体_GBK" w:cs="Times New Roman"/>
      <w:sz w:val="32"/>
      <w:szCs w:val="32"/>
    </w:rPr>
  </w:style>
  <w:style w:type="paragraph" w:styleId="981"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customStyle="1">
    <w:name w:val="Char Char Char Char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customStyle="1">
    <w:name w:val=" Char Char Char Char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xl30"/>
    <w:basedOn w:val="6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Char Char Char Char"/>
    <w:basedOn w:val="902"/>
    <w:uiPriority w:val="0"/>
    <w:qFormat/>
    <w:pPr>
      <w:spacing w:line="360" w:lineRule="auto"/>
    </w:pPr>
    <w:rPr>
      <w:rFonts w:ascii="Tahoma" w:hAnsi="Tahoma"/>
      <w:sz w:val="24"/>
      <w:szCs w:val="24"/>
    </w:rPr>
  </w:style>
  <w:style w:type="paragraph" w:styleId="988" w:customStyle="1">
    <w:name w:val="table_1stline"/>
    <w:basedOn w:val="696"/>
    <w:uiPriority w:val="0"/>
    <w:qFormat/>
    <w:pPr>
      <w:jc w:val="left"/>
      <w:spacing w:before="120"/>
      <w:widowControl/>
    </w:pPr>
    <w:rPr>
      <w:rFonts w:ascii="Times New Roman" w:hAnsi="Times New Roman" w:eastAsia="宋体" w:cs="Times New Roman"/>
      <w:bCs/>
      <w:sz w:val="20"/>
      <w:szCs w:val="20"/>
      <w:lang w:val="de-DE" w:eastAsia="de-DE"/>
    </w:rPr>
  </w:style>
  <w:style w:type="paragraph" w:styleId="989" w:customStyle="1">
    <w:name w:val="font5"/>
    <w:basedOn w:val="69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标题1"/>
    <w:basedOn w:val="696"/>
    <w:next w:val="6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9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3" w:customStyle="1">
    <w:name w:val="Table Normal"/>
    <w:uiPriority w:val="0"/>
    <w:qFormat/>
    <w:tblPr/>
  </w:style>
  <w:style w:type="paragraph" w:styleId="994" w:customStyle="1">
    <w:name w:val="正文文本 211"/>
    <w:basedOn w:val="696"/>
    <w:uiPriority w:val="99"/>
    <w:qFormat/>
    <w:pPr>
      <w:jc w:val="center"/>
    </w:pPr>
    <w:rPr>
      <w:b/>
      <w:bCs/>
      <w:sz w:val="20"/>
      <w:szCs w:val="20"/>
    </w:rPr>
  </w:style>
  <w:style w:type="paragraph" w:styleId="995" w:customStyle="1">
    <w:name w:val="正文文本1"/>
    <w:basedOn w:val="696"/>
    <w:next w:val="696"/>
    <w:uiPriority w:val="0"/>
    <w:semiHidden/>
    <w:qFormat/>
    <w:rPr>
      <w:rFonts w:ascii="Arial" w:hAnsi="Arial" w:eastAsia="Arial" w:cs="Arial"/>
      <w:sz w:val="21"/>
      <w:szCs w:val="21"/>
      <w:lang w:val="en-US" w:eastAsia="en-US" w:bidi="ar-SA"/>
    </w:rPr>
  </w:style>
  <w:style w:type="paragraph" w:styleId="996" w:customStyle="1">
    <w:name w:val="正文文本12"/>
    <w:basedOn w:val="696"/>
    <w:uiPriority w:val="1"/>
    <w:qFormat/>
    <w:pPr>
      <w:ind w:left="120"/>
    </w:pPr>
    <w:rPr>
      <w:rFonts w:ascii="宋体" w:hAnsi="宋体" w:eastAsia="宋体" w:cs="宋体"/>
      <w:sz w:val="21"/>
      <w:szCs w:val="21"/>
      <w:lang w:val="zh-CN" w:eastAsia="zh-CN" w:bidi="zh-CN"/>
    </w:rPr>
  </w:style>
  <w:style w:type="paragraph" w:styleId="997" w:customStyle="1">
    <w:name w:val="纯文本1"/>
    <w:basedOn w:val="696"/>
    <w:uiPriority w:val="0"/>
    <w:qFormat/>
    <w:rPr>
      <w:rFonts w:ascii="宋体" w:hAnsi="Courier New" w:cs="Courier New"/>
    </w:rPr>
  </w:style>
  <w:style w:type="table" w:styleId="998" w:customStyle="1">
    <w:name w:val="网格型1"/>
    <w:basedOn w:val="999"/>
    <w:uiPriority w:val="0"/>
    <w:qFormat/>
    <w:pPr>
      <w:jc w:val="both"/>
      <w:widowControl w:val="off"/>
    </w:pPr>
    <w:tblPr/>
  </w:style>
  <w:style w:type="table" w:styleId="999" w:customStyle="1">
    <w:name w:val="普通表格1"/>
    <w:uiPriority w:val="99"/>
    <w:unhideWhenUsed/>
    <w:qFormat/>
    <w:tbl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14</cp:revision>
  <dcterms:created xsi:type="dcterms:W3CDTF">2023-03-27T07:28:00Z</dcterms:created>
  <dcterms:modified xsi:type="dcterms:W3CDTF">2025-12-03T08:30:31Z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901B58D545E94487ADB41D71473B91CD</vt:lpwstr>
  </property>
</Properties>
</file>